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6F202" w14:textId="77777777" w:rsidR="00491A46" w:rsidRDefault="00000000">
      <w:pPr>
        <w:spacing w:before="1100"/>
        <w:jc w:val="center"/>
      </w:pPr>
      <w:r>
        <w:rPr>
          <w:b/>
          <w:color w:val="1F4E79"/>
          <w:sz w:val="34"/>
        </w:rPr>
        <w:t>SAGGART VILLAGE</w:t>
      </w:r>
      <w:r>
        <w:rPr>
          <w:b/>
          <w:color w:val="1F4E79"/>
          <w:sz w:val="34"/>
        </w:rPr>
        <w:br/>
        <w:t>RESIDENTS ASSOCIATION</w:t>
      </w:r>
    </w:p>
    <w:p w14:paraId="7B1012C6" w14:textId="77777777" w:rsidR="00491A46" w:rsidRDefault="00000000">
      <w:pPr>
        <w:spacing w:before="280"/>
        <w:jc w:val="center"/>
      </w:pPr>
      <w:r>
        <w:rPr>
          <w:b/>
          <w:color w:val="404040"/>
          <w:sz w:val="28"/>
        </w:rPr>
        <w:t>Proposed Material Alterations to Proposed Variation No. 2</w:t>
      </w:r>
      <w:r>
        <w:rPr>
          <w:b/>
          <w:color w:val="404040"/>
          <w:sz w:val="28"/>
        </w:rPr>
        <w:br/>
        <w:t>South Dublin County Development Plan 2022-2028</w:t>
      </w:r>
    </w:p>
    <w:p w14:paraId="32AD37A2" w14:textId="77777777" w:rsidR="00491A46" w:rsidRDefault="00000000">
      <w:pPr>
        <w:spacing w:before="360"/>
        <w:jc w:val="center"/>
      </w:pPr>
      <w:r>
        <w:rPr>
          <w:b/>
          <w:color w:val="1F4E79"/>
          <w:sz w:val="32"/>
        </w:rPr>
        <w:t>Citywest Lands - Material Alteration MA5.1 / CS8 SLO2</w:t>
      </w:r>
    </w:p>
    <w:p w14:paraId="3A3C0583" w14:textId="77777777" w:rsidR="00491A46" w:rsidRDefault="00000000">
      <w:pPr>
        <w:spacing w:before="1700"/>
        <w:jc w:val="center"/>
      </w:pPr>
      <w:r>
        <w:rPr>
          <w:color w:val="404040"/>
          <w:sz w:val="24"/>
        </w:rPr>
        <w:t>5 August 2026</w:t>
      </w:r>
    </w:p>
    <w:p w14:paraId="2BAC4D41" w14:textId="77777777" w:rsidR="00491A46" w:rsidRDefault="00000000">
      <w:pPr>
        <w:spacing w:before="240"/>
        <w:jc w:val="center"/>
      </w:pPr>
      <w:r>
        <w:rPr>
          <w:b/>
          <w:color w:val="404040"/>
          <w:sz w:val="22"/>
        </w:rPr>
        <w:t>Submitted by Saggart Village Residents Association (SVRA)</w:t>
      </w:r>
    </w:p>
    <w:p w14:paraId="0C1C8837" w14:textId="77777777" w:rsidR="00491A46" w:rsidRDefault="00000000">
      <w:r>
        <w:br w:type="page"/>
      </w:r>
    </w:p>
    <w:p w14:paraId="3DA2520A" w14:textId="77777777" w:rsidR="00491A46" w:rsidRDefault="00000000">
      <w:pPr>
        <w:pStyle w:val="Heading1"/>
      </w:pPr>
      <w:r>
        <w:lastRenderedPageBreak/>
        <w:t>Executive Summary</w:t>
      </w:r>
    </w:p>
    <w:tbl>
      <w:tblPr>
        <w:tblW w:w="0" w:type="auto"/>
        <w:jc w:val="center"/>
        <w:tblBorders>
          <w:top w:val="single" w:sz="6" w:space="0" w:color="9CC2E5"/>
          <w:left w:val="single" w:sz="6" w:space="0" w:color="9CC2E5"/>
          <w:bottom w:val="single" w:sz="6" w:space="0" w:color="9CC2E5"/>
          <w:right w:val="single" w:sz="6" w:space="0" w:color="9CC2E5"/>
          <w:insideH w:val="single" w:sz="6" w:space="0" w:color="9CC2E5"/>
          <w:insideV w:val="single" w:sz="6" w:space="0" w:color="9CC2E5"/>
        </w:tblBorders>
        <w:tblLayout w:type="fixed"/>
        <w:tblLook w:val="04A0" w:firstRow="1" w:lastRow="0" w:firstColumn="1" w:lastColumn="0" w:noHBand="0" w:noVBand="1"/>
      </w:tblPr>
      <w:tblGrid>
        <w:gridCol w:w="9184"/>
      </w:tblGrid>
      <w:tr w:rsidR="00491A46" w14:paraId="51285ED0" w14:textId="77777777">
        <w:trPr>
          <w:cantSplit/>
          <w:jc w:val="center"/>
        </w:trPr>
        <w:tc>
          <w:tcPr>
            <w:tcW w:w="9184" w:type="dxa"/>
            <w:shd w:val="clear" w:color="auto" w:fill="D9EAF7"/>
            <w:tcMar>
              <w:top w:w="120" w:type="dxa"/>
              <w:left w:w="160" w:type="dxa"/>
              <w:bottom w:w="120" w:type="dxa"/>
              <w:right w:w="160" w:type="dxa"/>
            </w:tcMar>
          </w:tcPr>
          <w:p w14:paraId="17321BFB" w14:textId="77777777" w:rsidR="00491A46" w:rsidRDefault="00000000">
            <w:pPr>
              <w:spacing w:after="60"/>
            </w:pPr>
            <w:r>
              <w:rPr>
                <w:b/>
                <w:color w:val="1F4E79"/>
              </w:rPr>
              <w:t>SVRA’s primary position</w:t>
            </w:r>
          </w:p>
          <w:p w14:paraId="7868378F" w14:textId="77777777" w:rsidR="00491A46" w:rsidRDefault="00000000">
            <w:pPr>
              <w:spacing w:after="0"/>
            </w:pPr>
            <w:r>
              <w:t>SVRA’s position remains that the proposed rezoning of the former Citywest Golf Course lands should not proceed. The reasons set out in SVRA’s original submission remain fully relied upon and should be read together with this further submission.</w:t>
            </w:r>
          </w:p>
        </w:tc>
      </w:tr>
    </w:tbl>
    <w:p w14:paraId="14CA20C4" w14:textId="77777777" w:rsidR="00491A46" w:rsidRDefault="00491A46">
      <w:pPr>
        <w:spacing w:after="0"/>
      </w:pPr>
    </w:p>
    <w:p w14:paraId="2957B275" w14:textId="77777777" w:rsidR="00491A46" w:rsidRDefault="00000000">
      <w:r>
        <w:t>The Proposed Material Alterations contain a number of improvements, particularly CS8 SLO2, which provides for ecological assessment, ecologically informed lighting, traffic assessment, an active travel connection, site-specific flood risk assessment, consideration of existing water features and a community centre/sports hall. SVRA welcomes those safeguards but does not regard them as sufficient to overcome its primary objection to the rezoning.</w:t>
      </w:r>
    </w:p>
    <w:p w14:paraId="2465EF46" w14:textId="77777777" w:rsidR="00491A46" w:rsidRDefault="00000000">
      <w:r>
        <w:t>This further submission is made because, if South Dublin County Council proceeds with the rezoning notwithstanding the objections already raised, the final planning framework must be made substantially stronger, clearer and more enforceable. These fallback recommendations do not amount to acceptance of the rezoning or any waiver of SVRA’s original position.</w:t>
      </w:r>
    </w:p>
    <w:p w14:paraId="75990FD1" w14:textId="77777777" w:rsidR="00491A46" w:rsidRDefault="00000000">
      <w:r>
        <w:t>New information available since the original submission reinforces the need for stronger wording. The Council’s own Capital Programme identifies major community, sports, active travel and drainage projects that remain to be delivered. A recent Council letter demonstrates the practical consequences of incomplete and interdependent surface-water infrastructure in nearby estates. In addition, the principal landowner’s planning consultants expressly state that their client welcomes and supports CS8 SLO2, confirming that the safeguards are not regarded by the landowner as incompatible with housing delivery.</w:t>
      </w:r>
    </w:p>
    <w:p w14:paraId="0C00B865" w14:textId="77777777" w:rsidR="00491A46" w:rsidRDefault="00000000">
      <w:r>
        <w:t>SVRA also notes that a motion proposed by Councillor Francis Timmons was passed by the elected members but was not reflected in the published Material Alterations. Councillor Timmons has therefore made a further submission seeking its inclusion. SVRA supports the incorporation of the substance of that adopted motion, including the additional sports, recreational and local park provisions sought for the area.</w:t>
      </w:r>
    </w:p>
    <w:p w14:paraId="12AEAAB9" w14:textId="77777777" w:rsidR="00491A46" w:rsidRDefault="00000000">
      <w:pPr>
        <w:pStyle w:val="Heading1"/>
      </w:pPr>
      <w:r>
        <w:t>Key Requests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80"/>
        <w:gridCol w:w="2891"/>
        <w:gridCol w:w="5669"/>
      </w:tblGrid>
      <w:tr w:rsidR="00491A46" w14:paraId="5AFD19FA" w14:textId="77777777">
        <w:trPr>
          <w:cantSplit/>
          <w:tblHeader/>
          <w:jc w:val="center"/>
        </w:trPr>
        <w:tc>
          <w:tcPr>
            <w:tcW w:w="680" w:type="dxa"/>
            <w:shd w:val="clear" w:color="auto" w:fill="1F4E79"/>
            <w:tcMar>
              <w:top w:w="80" w:type="dxa"/>
              <w:left w:w="90" w:type="dxa"/>
              <w:bottom w:w="80" w:type="dxa"/>
              <w:right w:w="90" w:type="dxa"/>
            </w:tcMar>
          </w:tcPr>
          <w:p w14:paraId="51D83F3E" w14:textId="77777777" w:rsidR="00491A46" w:rsidRDefault="00000000">
            <w:pPr>
              <w:jc w:val="center"/>
            </w:pPr>
            <w:r>
              <w:rPr>
                <w:b/>
                <w:color w:val="FFFFFF"/>
                <w:sz w:val="19"/>
              </w:rPr>
              <w:t>No.</w:t>
            </w:r>
          </w:p>
        </w:tc>
        <w:tc>
          <w:tcPr>
            <w:tcW w:w="2891" w:type="dxa"/>
            <w:shd w:val="clear" w:color="auto" w:fill="1F4E79"/>
            <w:tcMar>
              <w:top w:w="80" w:type="dxa"/>
              <w:left w:w="90" w:type="dxa"/>
              <w:bottom w:w="80" w:type="dxa"/>
              <w:right w:w="90" w:type="dxa"/>
            </w:tcMar>
          </w:tcPr>
          <w:p w14:paraId="6FFF04AA" w14:textId="77777777" w:rsidR="00491A46" w:rsidRDefault="00000000">
            <w:pPr>
              <w:jc w:val="center"/>
            </w:pPr>
            <w:r>
              <w:rPr>
                <w:b/>
                <w:color w:val="FFFFFF"/>
                <w:sz w:val="19"/>
              </w:rPr>
              <w:t>Issue</w:t>
            </w:r>
          </w:p>
        </w:tc>
        <w:tc>
          <w:tcPr>
            <w:tcW w:w="5669" w:type="dxa"/>
            <w:shd w:val="clear" w:color="auto" w:fill="1F4E79"/>
            <w:tcMar>
              <w:top w:w="80" w:type="dxa"/>
              <w:left w:w="90" w:type="dxa"/>
              <w:bottom w:w="80" w:type="dxa"/>
              <w:right w:w="90" w:type="dxa"/>
            </w:tcMar>
          </w:tcPr>
          <w:p w14:paraId="2562D11D" w14:textId="77777777" w:rsidR="00491A46" w:rsidRDefault="00000000">
            <w:pPr>
              <w:jc w:val="center"/>
            </w:pPr>
            <w:r>
              <w:rPr>
                <w:b/>
                <w:color w:val="FFFFFF"/>
                <w:sz w:val="19"/>
              </w:rPr>
              <w:t>Requested strengthening</w:t>
            </w:r>
          </w:p>
        </w:tc>
      </w:tr>
      <w:tr w:rsidR="00491A46" w14:paraId="7F5DF980" w14:textId="77777777">
        <w:trPr>
          <w:cantSplit/>
          <w:jc w:val="center"/>
        </w:trPr>
        <w:tc>
          <w:tcPr>
            <w:tcW w:w="680" w:type="dxa"/>
            <w:tcMar>
              <w:top w:w="80" w:type="dxa"/>
              <w:left w:w="90" w:type="dxa"/>
              <w:bottom w:w="80" w:type="dxa"/>
              <w:right w:w="90" w:type="dxa"/>
            </w:tcMar>
          </w:tcPr>
          <w:p w14:paraId="3ADA80DC" w14:textId="77777777" w:rsidR="00491A46" w:rsidRDefault="00000000">
            <w:pPr>
              <w:spacing w:after="0"/>
              <w:jc w:val="center"/>
            </w:pPr>
            <w:r>
              <w:rPr>
                <w:sz w:val="18"/>
              </w:rPr>
              <w:t>1</w:t>
            </w:r>
          </w:p>
        </w:tc>
        <w:tc>
          <w:tcPr>
            <w:tcW w:w="2891" w:type="dxa"/>
            <w:tcMar>
              <w:top w:w="80" w:type="dxa"/>
              <w:left w:w="90" w:type="dxa"/>
              <w:bottom w:w="80" w:type="dxa"/>
              <w:right w:w="90" w:type="dxa"/>
            </w:tcMar>
          </w:tcPr>
          <w:p w14:paraId="6B8E471E" w14:textId="77777777" w:rsidR="00491A46" w:rsidRDefault="00000000">
            <w:pPr>
              <w:spacing w:after="0"/>
            </w:pPr>
            <w:r>
              <w:rPr>
                <w:b/>
                <w:sz w:val="18"/>
              </w:rPr>
              <w:t>Primary position</w:t>
            </w:r>
          </w:p>
        </w:tc>
        <w:tc>
          <w:tcPr>
            <w:tcW w:w="5669" w:type="dxa"/>
            <w:tcMar>
              <w:top w:w="80" w:type="dxa"/>
              <w:left w:w="90" w:type="dxa"/>
              <w:bottom w:w="80" w:type="dxa"/>
              <w:right w:w="90" w:type="dxa"/>
            </w:tcMar>
          </w:tcPr>
          <w:p w14:paraId="4C4B49E0" w14:textId="77777777" w:rsidR="00491A46" w:rsidRDefault="00000000">
            <w:pPr>
              <w:spacing w:after="0"/>
            </w:pPr>
            <w:r>
              <w:rPr>
                <w:sz w:val="18"/>
              </w:rPr>
              <w:t>Do not adopt the rezoning. Read this further submission together with SVRA’s original objection.</w:t>
            </w:r>
          </w:p>
        </w:tc>
      </w:tr>
      <w:tr w:rsidR="00491A46" w14:paraId="4480B223" w14:textId="77777777">
        <w:trPr>
          <w:cantSplit/>
          <w:jc w:val="center"/>
        </w:trPr>
        <w:tc>
          <w:tcPr>
            <w:tcW w:w="680" w:type="dxa"/>
            <w:shd w:val="clear" w:color="auto" w:fill="F4F7FA"/>
            <w:tcMar>
              <w:top w:w="80" w:type="dxa"/>
              <w:left w:w="90" w:type="dxa"/>
              <w:bottom w:w="80" w:type="dxa"/>
              <w:right w:w="90" w:type="dxa"/>
            </w:tcMar>
          </w:tcPr>
          <w:p w14:paraId="5339AF9D" w14:textId="77777777" w:rsidR="00491A46" w:rsidRDefault="00000000">
            <w:pPr>
              <w:spacing w:after="0"/>
              <w:jc w:val="center"/>
            </w:pPr>
            <w:r>
              <w:rPr>
                <w:sz w:val="18"/>
              </w:rPr>
              <w:t>2</w:t>
            </w:r>
          </w:p>
        </w:tc>
        <w:tc>
          <w:tcPr>
            <w:tcW w:w="2891" w:type="dxa"/>
            <w:shd w:val="clear" w:color="auto" w:fill="F4F7FA"/>
            <w:tcMar>
              <w:top w:w="80" w:type="dxa"/>
              <w:left w:w="90" w:type="dxa"/>
              <w:bottom w:w="80" w:type="dxa"/>
              <w:right w:w="90" w:type="dxa"/>
            </w:tcMar>
          </w:tcPr>
          <w:p w14:paraId="67130DA6" w14:textId="77777777" w:rsidR="00491A46" w:rsidRDefault="00000000">
            <w:pPr>
              <w:spacing w:after="0"/>
            </w:pPr>
            <w:r>
              <w:rPr>
                <w:b/>
                <w:sz w:val="18"/>
              </w:rPr>
              <w:t>Infrastructure phasing</w:t>
            </w:r>
          </w:p>
        </w:tc>
        <w:tc>
          <w:tcPr>
            <w:tcW w:w="5669" w:type="dxa"/>
            <w:shd w:val="clear" w:color="auto" w:fill="F4F7FA"/>
            <w:tcMar>
              <w:top w:w="80" w:type="dxa"/>
              <w:left w:w="90" w:type="dxa"/>
              <w:bottom w:w="80" w:type="dxa"/>
              <w:right w:w="90" w:type="dxa"/>
            </w:tcMar>
          </w:tcPr>
          <w:p w14:paraId="60FF7D8F" w14:textId="77777777" w:rsidR="00491A46" w:rsidRDefault="00000000">
            <w:pPr>
              <w:spacing w:after="0"/>
            </w:pPr>
            <w:r>
              <w:rPr>
                <w:sz w:val="18"/>
              </w:rPr>
              <w:t>Link residential occupation to the prior or concurrent delivery of identified education, healthcare, transport, drainage, community, sports and recreational infrastructure.</w:t>
            </w:r>
          </w:p>
        </w:tc>
      </w:tr>
      <w:tr w:rsidR="00491A46" w14:paraId="3A150E41" w14:textId="77777777">
        <w:trPr>
          <w:cantSplit/>
          <w:jc w:val="center"/>
        </w:trPr>
        <w:tc>
          <w:tcPr>
            <w:tcW w:w="680" w:type="dxa"/>
            <w:tcMar>
              <w:top w:w="80" w:type="dxa"/>
              <w:left w:w="90" w:type="dxa"/>
              <w:bottom w:w="80" w:type="dxa"/>
              <w:right w:w="90" w:type="dxa"/>
            </w:tcMar>
          </w:tcPr>
          <w:p w14:paraId="183EC4BB" w14:textId="77777777" w:rsidR="00491A46" w:rsidRDefault="00000000">
            <w:pPr>
              <w:spacing w:after="0"/>
              <w:jc w:val="center"/>
            </w:pPr>
            <w:r>
              <w:rPr>
                <w:sz w:val="18"/>
              </w:rPr>
              <w:t>3</w:t>
            </w:r>
          </w:p>
        </w:tc>
        <w:tc>
          <w:tcPr>
            <w:tcW w:w="2891" w:type="dxa"/>
            <w:tcMar>
              <w:top w:w="80" w:type="dxa"/>
              <w:left w:w="90" w:type="dxa"/>
              <w:bottom w:w="80" w:type="dxa"/>
              <w:right w:w="90" w:type="dxa"/>
            </w:tcMar>
          </w:tcPr>
          <w:p w14:paraId="3B0DEF82" w14:textId="77777777" w:rsidR="00491A46" w:rsidRDefault="00000000">
            <w:pPr>
              <w:spacing w:after="0"/>
            </w:pPr>
            <w:r>
              <w:rPr>
                <w:b/>
                <w:sz w:val="18"/>
              </w:rPr>
              <w:t>Sports and recreation</w:t>
            </w:r>
          </w:p>
        </w:tc>
        <w:tc>
          <w:tcPr>
            <w:tcW w:w="5669" w:type="dxa"/>
            <w:tcMar>
              <w:top w:w="80" w:type="dxa"/>
              <w:left w:w="90" w:type="dxa"/>
              <w:bottom w:w="80" w:type="dxa"/>
              <w:right w:w="90" w:type="dxa"/>
            </w:tcMar>
          </w:tcPr>
          <w:p w14:paraId="20AA2333" w14:textId="77777777" w:rsidR="00491A46" w:rsidRDefault="00000000">
            <w:pPr>
              <w:spacing w:after="0"/>
            </w:pPr>
            <w:r>
              <w:rPr>
                <w:sz w:val="18"/>
              </w:rPr>
              <w:t>Expressly secure outdoor playing pitches, a pavilion, a local park, youth recreation and public access, in addition to the proposed community centre/sports hall.</w:t>
            </w:r>
          </w:p>
        </w:tc>
      </w:tr>
      <w:tr w:rsidR="00491A46" w14:paraId="3AE68BD3" w14:textId="77777777">
        <w:trPr>
          <w:cantSplit/>
          <w:jc w:val="center"/>
        </w:trPr>
        <w:tc>
          <w:tcPr>
            <w:tcW w:w="680" w:type="dxa"/>
            <w:shd w:val="clear" w:color="auto" w:fill="F4F7FA"/>
            <w:tcMar>
              <w:top w:w="80" w:type="dxa"/>
              <w:left w:w="90" w:type="dxa"/>
              <w:bottom w:w="80" w:type="dxa"/>
              <w:right w:w="90" w:type="dxa"/>
            </w:tcMar>
          </w:tcPr>
          <w:p w14:paraId="54D0AC54" w14:textId="77777777" w:rsidR="00491A46" w:rsidRDefault="00000000">
            <w:pPr>
              <w:spacing w:after="0"/>
              <w:jc w:val="center"/>
            </w:pPr>
            <w:r>
              <w:rPr>
                <w:sz w:val="18"/>
              </w:rPr>
              <w:t>4</w:t>
            </w:r>
          </w:p>
        </w:tc>
        <w:tc>
          <w:tcPr>
            <w:tcW w:w="2891" w:type="dxa"/>
            <w:shd w:val="clear" w:color="auto" w:fill="F4F7FA"/>
            <w:tcMar>
              <w:top w:w="80" w:type="dxa"/>
              <w:left w:w="90" w:type="dxa"/>
              <w:bottom w:w="80" w:type="dxa"/>
              <w:right w:w="90" w:type="dxa"/>
            </w:tcMar>
          </w:tcPr>
          <w:p w14:paraId="646FEEC0" w14:textId="77777777" w:rsidR="00491A46" w:rsidRDefault="00000000">
            <w:pPr>
              <w:spacing w:after="0"/>
            </w:pPr>
            <w:r>
              <w:rPr>
                <w:b/>
                <w:sz w:val="18"/>
              </w:rPr>
              <w:t>Environment</w:t>
            </w:r>
          </w:p>
        </w:tc>
        <w:tc>
          <w:tcPr>
            <w:tcW w:w="5669" w:type="dxa"/>
            <w:shd w:val="clear" w:color="auto" w:fill="F4F7FA"/>
            <w:tcMar>
              <w:top w:w="80" w:type="dxa"/>
              <w:left w:w="90" w:type="dxa"/>
              <w:bottom w:w="80" w:type="dxa"/>
              <w:right w:w="90" w:type="dxa"/>
            </w:tcMar>
          </w:tcPr>
          <w:p w14:paraId="35272C98" w14:textId="77777777" w:rsidR="00491A46" w:rsidRDefault="00000000">
            <w:pPr>
              <w:spacing w:after="0"/>
            </w:pPr>
            <w:r>
              <w:rPr>
                <w:sz w:val="18"/>
              </w:rPr>
              <w:t>Move beyond assessment-only wording by requiring retention and protection of significant woodland, mature trees, hedgerows, ecological corridors, water features and adequate buffers.</w:t>
            </w:r>
          </w:p>
        </w:tc>
      </w:tr>
      <w:tr w:rsidR="00491A46" w14:paraId="1CAA1214" w14:textId="77777777">
        <w:trPr>
          <w:cantSplit/>
          <w:jc w:val="center"/>
        </w:trPr>
        <w:tc>
          <w:tcPr>
            <w:tcW w:w="680" w:type="dxa"/>
            <w:tcMar>
              <w:top w:w="80" w:type="dxa"/>
              <w:left w:w="90" w:type="dxa"/>
              <w:bottom w:w="80" w:type="dxa"/>
              <w:right w:w="90" w:type="dxa"/>
            </w:tcMar>
          </w:tcPr>
          <w:p w14:paraId="398EF7DE" w14:textId="77777777" w:rsidR="00491A46" w:rsidRDefault="00000000">
            <w:pPr>
              <w:spacing w:after="0"/>
              <w:jc w:val="center"/>
            </w:pPr>
            <w:r>
              <w:rPr>
                <w:sz w:val="18"/>
              </w:rPr>
              <w:t>5</w:t>
            </w:r>
          </w:p>
        </w:tc>
        <w:tc>
          <w:tcPr>
            <w:tcW w:w="2891" w:type="dxa"/>
            <w:tcMar>
              <w:top w:w="80" w:type="dxa"/>
              <w:left w:w="90" w:type="dxa"/>
              <w:bottom w:w="80" w:type="dxa"/>
              <w:right w:w="90" w:type="dxa"/>
            </w:tcMar>
          </w:tcPr>
          <w:p w14:paraId="3CC7CDCD" w14:textId="77777777" w:rsidR="00491A46" w:rsidRDefault="00000000">
            <w:pPr>
              <w:spacing w:after="0"/>
            </w:pPr>
            <w:r>
              <w:rPr>
                <w:b/>
                <w:sz w:val="18"/>
              </w:rPr>
              <w:t>Drainage</w:t>
            </w:r>
          </w:p>
        </w:tc>
        <w:tc>
          <w:tcPr>
            <w:tcW w:w="5669" w:type="dxa"/>
            <w:tcMar>
              <w:top w:w="80" w:type="dxa"/>
              <w:left w:w="90" w:type="dxa"/>
              <w:bottom w:w="80" w:type="dxa"/>
              <w:right w:w="90" w:type="dxa"/>
            </w:tcMar>
          </w:tcPr>
          <w:p w14:paraId="582EF641" w14:textId="77777777" w:rsidR="00491A46" w:rsidRDefault="00000000">
            <w:pPr>
              <w:spacing w:after="0"/>
            </w:pPr>
            <w:r>
              <w:rPr>
                <w:sz w:val="18"/>
              </w:rPr>
              <w:t>Require complete and operational surface-water infrastructure, with no unresolved dependency on future adjoining development, before substantial occupation.</w:t>
            </w:r>
          </w:p>
        </w:tc>
      </w:tr>
      <w:tr w:rsidR="00491A46" w14:paraId="1558BD5C" w14:textId="77777777">
        <w:trPr>
          <w:cantSplit/>
          <w:jc w:val="center"/>
        </w:trPr>
        <w:tc>
          <w:tcPr>
            <w:tcW w:w="680" w:type="dxa"/>
            <w:shd w:val="clear" w:color="auto" w:fill="F4F7FA"/>
            <w:tcMar>
              <w:top w:w="80" w:type="dxa"/>
              <w:left w:w="90" w:type="dxa"/>
              <w:bottom w:w="80" w:type="dxa"/>
              <w:right w:w="90" w:type="dxa"/>
            </w:tcMar>
          </w:tcPr>
          <w:p w14:paraId="43844369" w14:textId="77777777" w:rsidR="00491A46" w:rsidRDefault="00000000">
            <w:pPr>
              <w:spacing w:after="0"/>
              <w:jc w:val="center"/>
            </w:pPr>
            <w:r>
              <w:rPr>
                <w:sz w:val="18"/>
              </w:rPr>
              <w:t>6</w:t>
            </w:r>
          </w:p>
        </w:tc>
        <w:tc>
          <w:tcPr>
            <w:tcW w:w="2891" w:type="dxa"/>
            <w:shd w:val="clear" w:color="auto" w:fill="F4F7FA"/>
            <w:tcMar>
              <w:top w:w="80" w:type="dxa"/>
              <w:left w:w="90" w:type="dxa"/>
              <w:bottom w:w="80" w:type="dxa"/>
              <w:right w:w="90" w:type="dxa"/>
            </w:tcMar>
          </w:tcPr>
          <w:p w14:paraId="441AEB2F" w14:textId="77777777" w:rsidR="00491A46" w:rsidRDefault="00000000">
            <w:pPr>
              <w:spacing w:after="0"/>
            </w:pPr>
            <w:r>
              <w:rPr>
                <w:b/>
                <w:sz w:val="18"/>
              </w:rPr>
              <w:t>Wider western villages</w:t>
            </w:r>
          </w:p>
        </w:tc>
        <w:tc>
          <w:tcPr>
            <w:tcW w:w="5669" w:type="dxa"/>
            <w:shd w:val="clear" w:color="auto" w:fill="F4F7FA"/>
            <w:tcMar>
              <w:top w:w="80" w:type="dxa"/>
              <w:left w:w="90" w:type="dxa"/>
              <w:bottom w:w="80" w:type="dxa"/>
              <w:right w:w="90" w:type="dxa"/>
            </w:tcMar>
          </w:tcPr>
          <w:p w14:paraId="57BD5452" w14:textId="77777777" w:rsidR="00491A46" w:rsidRDefault="00000000">
            <w:pPr>
              <w:spacing w:after="0"/>
            </w:pPr>
            <w:r>
              <w:rPr>
                <w:sz w:val="18"/>
              </w:rPr>
              <w:t>Assess and address cumulative impacts on Saggart, Rathcoole, Newcastle and Brittas, which share schools, healthcare, roads, recreation and community services.</w:t>
            </w:r>
          </w:p>
        </w:tc>
      </w:tr>
      <w:tr w:rsidR="00491A46" w14:paraId="17FAE927" w14:textId="77777777">
        <w:trPr>
          <w:cantSplit/>
          <w:jc w:val="center"/>
        </w:trPr>
        <w:tc>
          <w:tcPr>
            <w:tcW w:w="680" w:type="dxa"/>
            <w:tcMar>
              <w:top w:w="80" w:type="dxa"/>
              <w:left w:w="90" w:type="dxa"/>
              <w:bottom w:w="80" w:type="dxa"/>
              <w:right w:w="90" w:type="dxa"/>
            </w:tcMar>
          </w:tcPr>
          <w:p w14:paraId="086537A9" w14:textId="77777777" w:rsidR="00491A46" w:rsidRDefault="00000000">
            <w:pPr>
              <w:spacing w:after="0"/>
              <w:jc w:val="center"/>
            </w:pPr>
            <w:r>
              <w:rPr>
                <w:sz w:val="18"/>
              </w:rPr>
              <w:lastRenderedPageBreak/>
              <w:t>7</w:t>
            </w:r>
          </w:p>
        </w:tc>
        <w:tc>
          <w:tcPr>
            <w:tcW w:w="2891" w:type="dxa"/>
            <w:tcMar>
              <w:top w:w="80" w:type="dxa"/>
              <w:left w:w="90" w:type="dxa"/>
              <w:bottom w:w="80" w:type="dxa"/>
              <w:right w:w="90" w:type="dxa"/>
            </w:tcMar>
          </w:tcPr>
          <w:p w14:paraId="2E14FB94" w14:textId="77777777" w:rsidR="00491A46" w:rsidRDefault="00000000">
            <w:pPr>
              <w:spacing w:after="0"/>
            </w:pPr>
            <w:r>
              <w:rPr>
                <w:b/>
                <w:sz w:val="18"/>
              </w:rPr>
              <w:t>Heritage</w:t>
            </w:r>
          </w:p>
        </w:tc>
        <w:tc>
          <w:tcPr>
            <w:tcW w:w="5669" w:type="dxa"/>
            <w:tcMar>
              <w:top w:w="80" w:type="dxa"/>
              <w:left w:w="90" w:type="dxa"/>
              <w:bottom w:w="80" w:type="dxa"/>
              <w:right w:w="90" w:type="dxa"/>
            </w:tcMar>
          </w:tcPr>
          <w:p w14:paraId="7604248B" w14:textId="77777777" w:rsidR="00491A46" w:rsidRDefault="00000000">
            <w:pPr>
              <w:spacing w:after="0"/>
            </w:pPr>
            <w:r>
              <w:rPr>
                <w:sz w:val="18"/>
              </w:rPr>
              <w:t>Require protection of archaeology, historic landscape features, village approaches and the setting and character of nearby heritage assets.</w:t>
            </w:r>
          </w:p>
        </w:tc>
      </w:tr>
      <w:tr w:rsidR="00491A46" w14:paraId="0ABDAA41" w14:textId="77777777">
        <w:trPr>
          <w:cantSplit/>
          <w:jc w:val="center"/>
        </w:trPr>
        <w:tc>
          <w:tcPr>
            <w:tcW w:w="680" w:type="dxa"/>
            <w:shd w:val="clear" w:color="auto" w:fill="F4F7FA"/>
            <w:tcMar>
              <w:top w:w="80" w:type="dxa"/>
              <w:left w:w="90" w:type="dxa"/>
              <w:bottom w:w="80" w:type="dxa"/>
              <w:right w:w="90" w:type="dxa"/>
            </w:tcMar>
          </w:tcPr>
          <w:p w14:paraId="0FCF2C00" w14:textId="77777777" w:rsidR="00491A46" w:rsidRDefault="00000000">
            <w:pPr>
              <w:spacing w:after="0"/>
              <w:jc w:val="center"/>
            </w:pPr>
            <w:r>
              <w:rPr>
                <w:sz w:val="18"/>
              </w:rPr>
              <w:t>8</w:t>
            </w:r>
          </w:p>
        </w:tc>
        <w:tc>
          <w:tcPr>
            <w:tcW w:w="2891" w:type="dxa"/>
            <w:shd w:val="clear" w:color="auto" w:fill="F4F7FA"/>
            <w:tcMar>
              <w:top w:w="80" w:type="dxa"/>
              <w:left w:w="90" w:type="dxa"/>
              <w:bottom w:w="80" w:type="dxa"/>
              <w:right w:w="90" w:type="dxa"/>
            </w:tcMar>
          </w:tcPr>
          <w:p w14:paraId="19D7C3A2" w14:textId="77777777" w:rsidR="00491A46" w:rsidRDefault="00000000">
            <w:pPr>
              <w:spacing w:after="0"/>
            </w:pPr>
            <w:r>
              <w:rPr>
                <w:b/>
                <w:sz w:val="18"/>
              </w:rPr>
              <w:t>Council resolution</w:t>
            </w:r>
          </w:p>
        </w:tc>
        <w:tc>
          <w:tcPr>
            <w:tcW w:w="5669" w:type="dxa"/>
            <w:shd w:val="clear" w:color="auto" w:fill="F4F7FA"/>
            <w:tcMar>
              <w:top w:w="80" w:type="dxa"/>
              <w:left w:w="90" w:type="dxa"/>
              <w:bottom w:w="80" w:type="dxa"/>
              <w:right w:w="90" w:type="dxa"/>
            </w:tcMar>
          </w:tcPr>
          <w:p w14:paraId="0578EA35" w14:textId="77777777" w:rsidR="00491A46" w:rsidRDefault="00000000">
            <w:pPr>
              <w:spacing w:after="0"/>
            </w:pPr>
            <w:r>
              <w:rPr>
                <w:sz w:val="18"/>
              </w:rPr>
              <w:t>Incorporate the substance of the motion proposed by Cllr Francis Timmons and passed by the elected members but omitted from the published Material Alterations.</w:t>
            </w:r>
          </w:p>
        </w:tc>
      </w:tr>
    </w:tbl>
    <w:p w14:paraId="29393F87" w14:textId="77777777" w:rsidR="00491A46" w:rsidRDefault="00000000">
      <w:pPr>
        <w:pStyle w:val="Heading1"/>
      </w:pPr>
      <w:r>
        <w:t>1. Introduction and Status of this Submission</w:t>
      </w:r>
    </w:p>
    <w:p w14:paraId="1446F590" w14:textId="77777777" w:rsidR="00491A46" w:rsidRDefault="00000000">
      <w:r>
        <w:t>Saggart Village Residents Association welcomes the opportunity to comment on the Proposed Material Alterations relating to the proposed rezoning of approximately 20 hectares at the former Citywest Golf Course.</w:t>
      </w:r>
    </w:p>
    <w:p w14:paraId="01474EC9" w14:textId="77777777" w:rsidR="00491A46" w:rsidRDefault="00000000">
      <w:r>
        <w:t>For the avoidance of doubt, SVRA’s position remains that the rezoning should not proceed. The detailed planning, infrastructure, environmental and community concerns set out in SVRA’s original submission remain unresolved and are expressly maintained. That original submission should be treated as incorporated into and read together with this further submission.</w:t>
      </w:r>
    </w:p>
    <w:p w14:paraId="27A634B6" w14:textId="77777777" w:rsidR="00491A46" w:rsidRDefault="00000000">
      <w:r>
        <w:t>SVRA recognises that the Council has introduced additional safeguards through the Proposed Material Alterations. It is therefore necessary to engage with those safeguards on a contingency basis. The recommendations below are made without prejudice to SVRA’s primary objection and are intended to provide the strongest possible protection if the Council determines to proceed despite the concerns raised.</w:t>
      </w:r>
    </w:p>
    <w:p w14:paraId="2E40ECBB" w14:textId="77777777" w:rsidR="00491A46" w:rsidRDefault="00000000">
      <w:pPr>
        <w:pStyle w:val="Heading1"/>
      </w:pPr>
      <w:r>
        <w:t>2. CS8 SLO2 is Welcome but Requires Stronger, Enforceable Wording</w:t>
      </w:r>
    </w:p>
    <w:p w14:paraId="0BC69346" w14:textId="77777777" w:rsidR="00491A46" w:rsidRDefault="00000000">
      <w:r>
        <w:t>As reproduced in the planning submission made on behalf of Lydon in collaboration with Cape Wrath, CS8 SLO2 provides for:</w:t>
      </w:r>
    </w:p>
    <w:p w14:paraId="5C0C8B47" w14:textId="77777777" w:rsidR="00491A46" w:rsidRDefault="00000000">
      <w:pPr>
        <w:pStyle w:val="ListBullet"/>
        <w:spacing w:after="60"/>
        <w:ind w:left="369" w:hanging="170"/>
      </w:pPr>
      <w:r>
        <w:t>an Ecological Impact Assessment addressing use of the site and surrounding lands by mobile species;</w:t>
      </w:r>
    </w:p>
    <w:p w14:paraId="684816BE" w14:textId="77777777" w:rsidR="00491A46" w:rsidRDefault="00000000">
      <w:pPr>
        <w:pStyle w:val="ListBullet"/>
        <w:spacing w:after="60"/>
        <w:ind w:left="369" w:hanging="170"/>
      </w:pPr>
      <w:r>
        <w:t>ecologically informed lighting design;</w:t>
      </w:r>
    </w:p>
    <w:p w14:paraId="309D676B" w14:textId="77777777" w:rsidR="00491A46" w:rsidRDefault="00000000">
      <w:pPr>
        <w:pStyle w:val="ListBullet"/>
        <w:spacing w:after="60"/>
        <w:ind w:left="369" w:hanging="170"/>
      </w:pPr>
      <w:r>
        <w:t>a Transport and Traffic Assessment;</w:t>
      </w:r>
    </w:p>
    <w:p w14:paraId="21953908" w14:textId="77777777" w:rsidR="00491A46" w:rsidRDefault="00000000">
      <w:pPr>
        <w:pStyle w:val="ListBullet"/>
        <w:spacing w:after="60"/>
        <w:ind w:left="369" w:hanging="170"/>
      </w:pPr>
      <w:r>
        <w:t>a direct active travel link through the lands between Mill Road and Garter Lane;</w:t>
      </w:r>
    </w:p>
    <w:p w14:paraId="74B9B47B" w14:textId="77777777" w:rsidR="00491A46" w:rsidRDefault="00000000">
      <w:pPr>
        <w:pStyle w:val="ListBullet"/>
        <w:spacing w:after="60"/>
        <w:ind w:left="369" w:hanging="170"/>
      </w:pPr>
      <w:r>
        <w:t>a site-specific Flood Risk Assessment addressing the ornamental water features and the unmodelled watercourse to the south;</w:t>
      </w:r>
    </w:p>
    <w:p w14:paraId="134DC4F4" w14:textId="77777777" w:rsidR="00491A46" w:rsidRDefault="00000000">
      <w:pPr>
        <w:pStyle w:val="ListBullet"/>
        <w:spacing w:after="60"/>
        <w:ind w:left="369" w:hanging="170"/>
      </w:pPr>
      <w:r>
        <w:t>analysis of existing water features for incorporation into nature-based surface-water management where feasible; and</w:t>
      </w:r>
    </w:p>
    <w:p w14:paraId="29897845" w14:textId="77777777" w:rsidR="00491A46" w:rsidRDefault="00000000">
      <w:pPr>
        <w:pStyle w:val="ListBullet"/>
        <w:spacing w:after="60"/>
        <w:ind w:left="369" w:hanging="170"/>
      </w:pPr>
      <w:r>
        <w:t>a community centre/sports hall of approximately 1,500 square metres, or as agreed with the Planning Authority.</w:t>
      </w:r>
    </w:p>
    <w:p w14:paraId="19D7A850" w14:textId="77777777" w:rsidR="00491A46" w:rsidRDefault="00000000">
      <w:pPr>
        <w:pStyle w:val="SourceNote"/>
      </w:pPr>
      <w:r>
        <w:t>Source: Stephen Little &amp; Associates, submission on behalf of Lydon in collaboration with Cape Wrath, 4 August 2026, pp. 3-4.</w:t>
      </w:r>
    </w:p>
    <w:p w14:paraId="0160D637" w14:textId="77777777" w:rsidR="00491A46" w:rsidRDefault="00000000">
      <w:r>
        <w:t>These are important safeguards, but most are framed as requirements to assess or consider impacts rather than requirements to secure outcomes. Assessment alone does not guarantee woodland retention, adequate buffers, timely delivery of infrastructure, public access to facilities or completed drainage works before occupation.</w:t>
      </w:r>
    </w:p>
    <w:p w14:paraId="7B06A497" w14:textId="77777777" w:rsidR="00491A46" w:rsidRDefault="00000000">
      <w:r>
        <w:t>SVRA therefore requests that the final objective specify measurable outcomes, clear delivery stages and enforceable phasing triggers.</w:t>
      </w:r>
    </w:p>
    <w:p w14:paraId="48E51FEE" w14:textId="77777777" w:rsidR="00491A46" w:rsidRDefault="00000000">
      <w:pPr>
        <w:pStyle w:val="Heading1"/>
      </w:pPr>
      <w:r>
        <w:lastRenderedPageBreak/>
        <w:t>3. The Landowner’s Support Removes Any Basis for Weakening CS8 SLO2</w:t>
      </w:r>
    </w:p>
    <w:p w14:paraId="1906C235" w14:textId="77777777" w:rsidR="00491A46" w:rsidRDefault="00000000">
      <w:r>
        <w:t>The submission by Stephen Little &amp; Associates states that the landowner welcomes and supports CS8 SLO2 and looks forward to working with the Planning Authority to deliver housing on the lands. This is significant because it demonstrates that the principal landowner does not consider the ecological, drainage, active travel or community-facility safeguards incompatible with development.</w:t>
      </w:r>
    </w:p>
    <w:p w14:paraId="33552F71" w14:textId="77777777" w:rsidR="00491A46" w:rsidRDefault="00000000">
      <w:r>
        <w:t>Accordingly, there is no developer-based justification for removing or diluting CS8 SLO2. On the contrary, the landowner’s acceptance supports retaining the objective in full and strengthening it through clearer phasing, environmental protection and delivery requirements.</w:t>
      </w:r>
    </w:p>
    <w:p w14:paraId="6609C0C4" w14:textId="77777777" w:rsidR="00491A46" w:rsidRDefault="00000000">
      <w:r>
        <w:t>The landowner’s separate request concerning CS8 SLO3 and bulk purchasing should not be used as a basis for weakening any part of CS8 SLO2 or the community and environmental protections sought for the lands.</w:t>
      </w:r>
    </w:p>
    <w:p w14:paraId="1F34FA51" w14:textId="77777777" w:rsidR="00491A46" w:rsidRDefault="00000000">
      <w:pPr>
        <w:pStyle w:val="SourceNote"/>
      </w:pPr>
      <w:r>
        <w:t>Source: Stephen Little &amp; Associates, submission on behalf of Lydon in collaboration with Cape Wrath, 4 August 2026, pp. 4-5.</w:t>
      </w:r>
    </w:p>
    <w:p w14:paraId="4E73CA78" w14:textId="77777777" w:rsidR="00491A46" w:rsidRDefault="00000000">
      <w:pPr>
        <w:pStyle w:val="Heading1"/>
      </w:pPr>
      <w:r>
        <w:t>4. The Council’s Capital Programme Supports Infrastructure-Led Development</w:t>
      </w:r>
    </w:p>
    <w:p w14:paraId="4B2B3DA7" w14:textId="77777777" w:rsidR="00491A46" w:rsidRDefault="00000000">
      <w:r>
        <w:t>South Dublin County Council’s 3 Year Capital Programme 2025-2027 identifies several projects relevant to Citywest and the wider western area, including the Citywest Community Centre, Citywest Youth Facility fit-out, Rathcoole Pitches and Pavilion, the Citywest to Rathfarnham Cycle Scheme and the Newcastle, Rathcoole and Saggart Surface Water Drainage Scheme.</w:t>
      </w:r>
    </w:p>
    <w:p w14:paraId="54E90443" w14:textId="77777777" w:rsidR="00491A46" w:rsidRDefault="00000000">
      <w:r>
        <w:t>SVRA welcomes these projects. Their inclusion does not demonstrate that infrastructure needs have already been met; it demonstrates that substantial infrastructure is still required. Some projects are scheduled across later years, while others remain at study, planning or programme stage.</w:t>
      </w:r>
    </w:p>
    <w:p w14:paraId="0A555AF4" w14:textId="77777777" w:rsidR="00491A46" w:rsidRDefault="00000000">
      <w:r>
        <w:t>The Capital Programme also does not present an equivalent integrated package of named investment for Saggart, Rathcoole, Newcastle and Brittas as a connected group of settlements. While individual projects are identified, these villages will share many of the cumulative impacts of Citywest growth and should not be treated as peripheral to the rezoning decision.</w:t>
      </w:r>
    </w:p>
    <w:p w14:paraId="078F099A" w14:textId="77777777" w:rsidR="00491A46" w:rsidRDefault="00000000">
      <w:pPr>
        <w:pStyle w:val="SourceNote"/>
      </w:pPr>
      <w:r>
        <w:t>Source: South Dublin County Council, 3 Year Capital Programme 2025-2027, particularly programme tables on printed pp. 7-10 and narrative on printed pp. 17-20 and 29-34. See Appendix 1.</w:t>
      </w:r>
    </w:p>
    <w:p w14:paraId="15700CF3" w14:textId="77777777" w:rsidR="00491A46" w:rsidRDefault="00000000">
      <w:pPr>
        <w:pStyle w:val="Heading1"/>
      </w:pPr>
      <w:r>
        <w:t>5. Cumulative Impacts on Saggart, Rathcoole, Newcastle and Brittas</w:t>
      </w:r>
    </w:p>
    <w:p w14:paraId="06AD7C01" w14:textId="77777777" w:rsidR="00491A46" w:rsidRDefault="00000000">
      <w:r>
        <w:t>The proposed development will not operate as a self-contained community. Existing and future residents will rely on shared schools, healthcare services, roads, public transport, village centres, sports facilities, parks and community services throughout Saggart, Rathcoole, Newcastle and Brittas.</w:t>
      </w:r>
    </w:p>
    <w:p w14:paraId="487AEEE8" w14:textId="77777777" w:rsidR="00491A46" w:rsidRDefault="00000000">
      <w:r>
        <w:t>SVRA welcomes the primary care centre currently under construction within the Citywest grounds. Its construction is positive, but it also demonstrates official recognition that population growth requires additional healthcare capacity. A single facility should not be treated as evidence that all future GP, primary care, mental health, disability, older-person and allied-health demand has been assessed or met.</w:t>
      </w:r>
    </w:p>
    <w:p w14:paraId="2F2C0B21" w14:textId="77777777" w:rsidR="00491A46" w:rsidRDefault="00000000">
      <w:r>
        <w:t>The final objective should therefore require a Social Infrastructure Audit covering the existing and projected capacity of education, childcare, healthcare, community, sports, recreation and youth services across the full shared catchment, not only within the red-line boundary.</w:t>
      </w:r>
    </w:p>
    <w:p w14:paraId="47B3CA74" w14:textId="77777777" w:rsidR="00491A46" w:rsidRDefault="00000000">
      <w:pPr>
        <w:pStyle w:val="Heading1"/>
      </w:pPr>
      <w:r>
        <w:t>6. Sports, Pitches, Pavilion and the Omitted Council Motion</w:t>
      </w:r>
    </w:p>
    <w:p w14:paraId="576A9955" w14:textId="77777777" w:rsidR="00491A46" w:rsidRDefault="00000000">
      <w:r>
        <w:t xml:space="preserve">SVRA’s original submission welcomed the principle of community and sports provision. That support has always been accompanied by a clear request for meaningful facilities: indoor and outdoor sports </w:t>
      </w:r>
      <w:r>
        <w:lastRenderedPageBreak/>
        <w:t>provision, playing pitches, a pavilion, youth recreation, a local park and arrangements ensuring genuine public access and timely delivery.</w:t>
      </w:r>
    </w:p>
    <w:p w14:paraId="2F893FE0" w14:textId="77777777" w:rsidR="00491A46" w:rsidRDefault="00000000">
      <w:r>
        <w:t>The current reference to a community centre/sports hall of approximately 1,500 square metres is welcome, but it is not a substitute for outdoor pitches, a pavilion or a local park. These are distinct forms of infrastructure serving different needs.</w:t>
      </w:r>
    </w:p>
    <w:p w14:paraId="3F6440BA" w14:textId="77777777" w:rsidR="00491A46" w:rsidRDefault="00000000">
      <w:r>
        <w:t>SVRA further notes that a motion proposed by Councillor Francis Timmons was passed by the elected members but was not incorporated into the published Material Alterations. Councillor Timmons has therefore made a submission seeking its inclusion. SVRA supports the incorporation of the substance of that adopted motion and requests that the final Variation expressly secure the additional sports, recreational and local park provisions sought.</w:t>
      </w:r>
    </w:p>
    <w:tbl>
      <w:tblPr>
        <w:tblW w:w="0" w:type="auto"/>
        <w:jc w:val="center"/>
        <w:tblBorders>
          <w:top w:val="single" w:sz="6" w:space="0" w:color="9CC2E5"/>
          <w:left w:val="single" w:sz="6" w:space="0" w:color="9CC2E5"/>
          <w:bottom w:val="single" w:sz="6" w:space="0" w:color="9CC2E5"/>
          <w:right w:val="single" w:sz="6" w:space="0" w:color="9CC2E5"/>
          <w:insideH w:val="single" w:sz="6" w:space="0" w:color="9CC2E5"/>
          <w:insideV w:val="single" w:sz="6" w:space="0" w:color="9CC2E5"/>
        </w:tblBorders>
        <w:tblLayout w:type="fixed"/>
        <w:tblLook w:val="04A0" w:firstRow="1" w:lastRow="0" w:firstColumn="1" w:lastColumn="0" w:noHBand="0" w:noVBand="1"/>
      </w:tblPr>
      <w:tblGrid>
        <w:gridCol w:w="9184"/>
      </w:tblGrid>
      <w:tr w:rsidR="00491A46" w14:paraId="29EA562E" w14:textId="77777777">
        <w:trPr>
          <w:cantSplit/>
          <w:jc w:val="center"/>
        </w:trPr>
        <w:tc>
          <w:tcPr>
            <w:tcW w:w="9184" w:type="dxa"/>
            <w:shd w:val="clear" w:color="auto" w:fill="D9EAF7"/>
            <w:tcMar>
              <w:top w:w="120" w:type="dxa"/>
              <w:left w:w="160" w:type="dxa"/>
              <w:bottom w:w="120" w:type="dxa"/>
              <w:right w:w="160" w:type="dxa"/>
            </w:tcMar>
          </w:tcPr>
          <w:p w14:paraId="0413FCEF" w14:textId="77777777" w:rsidR="00491A46" w:rsidRDefault="00000000">
            <w:pPr>
              <w:spacing w:after="60"/>
            </w:pPr>
            <w:r>
              <w:rPr>
                <w:b/>
                <w:color w:val="1F4E79"/>
              </w:rPr>
              <w:t>Requested safeguard</w:t>
            </w:r>
          </w:p>
          <w:p w14:paraId="0DDB1CBE" w14:textId="77777777" w:rsidR="00491A46" w:rsidRDefault="00000000">
            <w:pPr>
              <w:spacing w:after="0"/>
            </w:pPr>
            <w:r>
              <w:t>The final objective should specify the facilities to be provided, their minimum public-access requirements, the development phase by which each facility must be operational, and the mechanism by which the land and facilities will be transferred, managed or otherwise secured for long-term community use.</w:t>
            </w:r>
          </w:p>
        </w:tc>
      </w:tr>
    </w:tbl>
    <w:p w14:paraId="1DF8DC2F" w14:textId="77777777" w:rsidR="00491A46" w:rsidRDefault="00491A46">
      <w:pPr>
        <w:spacing w:after="0"/>
      </w:pPr>
    </w:p>
    <w:p w14:paraId="6F23B6C3" w14:textId="77777777" w:rsidR="00491A46" w:rsidRDefault="00000000">
      <w:pPr>
        <w:pStyle w:val="Heading1"/>
      </w:pPr>
      <w:r>
        <w:t>7. Surface Water, Flood Risk and Lessons from Existing Estates</w:t>
      </w:r>
    </w:p>
    <w:p w14:paraId="48273FD0" w14:textId="77777777" w:rsidR="00491A46" w:rsidRDefault="00000000">
      <w:r>
        <w:t>A recent SDCC response dated 30 July 2026 concerning the taking in charge of nearby estates demonstrates the practical consequences of unresolved, interconnected surface-water infrastructure. The letter states that taking in charge cannot progress because surface-water services are tied into a neighbouring development and the connected drainage works remain incomplete. The Council says it will continue to seek engagement by the relevant developer.</w:t>
      </w:r>
    </w:p>
    <w:p w14:paraId="24C7FAD6" w14:textId="77777777" w:rsidR="00491A46" w:rsidRDefault="00000000">
      <w:r>
        <w:t>The letter is internally inconsistent in its naming of the affected estates: it first refers to Crosforge and Drury Mills and later refers to Crosforge and Millrace. SVRA therefore asks the Council to clarify the estate names. That inconsistency does not alter the central point supported by the letter: residents and the Council can be left waiting where critical drainage works depend on another development and have not been completed.</w:t>
      </w:r>
    </w:p>
    <w:p w14:paraId="26EEA947" w14:textId="77777777" w:rsidR="00491A46" w:rsidRDefault="00000000">
      <w:r>
        <w:t>This evidence should inform the Citywest objective. The final wording should require surface-water infrastructure and flood mitigation to be fully designed, consented, funded, constructed and operational in accordance with an agreed phasing plan. Substantial residential occupation should not occur where essential drainage remains dependent upon uncertain future works in another phase or adjoining development.</w:t>
      </w:r>
    </w:p>
    <w:p w14:paraId="2CE0D1D9" w14:textId="77777777" w:rsidR="00491A46" w:rsidRDefault="00000000">
      <w:pPr>
        <w:pStyle w:val="SourceNote"/>
      </w:pPr>
      <w:r>
        <w:t>Source: SDCC letter to Councillor Shirley O’Hara, Members Reps. ID 1930148, dated 30 July 2026. See Appendix 2.</w:t>
      </w:r>
    </w:p>
    <w:p w14:paraId="47DF4F7E" w14:textId="77777777" w:rsidR="00491A46" w:rsidRDefault="00000000">
      <w:pPr>
        <w:pStyle w:val="Heading1"/>
      </w:pPr>
      <w:r>
        <w:t>8. Woodland, Biodiversity, Water Features and Climate Resilience</w:t>
      </w:r>
    </w:p>
    <w:p w14:paraId="5CF9708F" w14:textId="77777777" w:rsidR="00491A46" w:rsidRDefault="00000000">
      <w:r>
        <w:t>SVRA’s original submission raised concerns about detrimental impacts on local woodland, biodiversity, ecological connectivity, water features and the wider environment. Those concerns remain. The aerial plan reproduced in the landowner’s submission itself shows extensive mature landscape features and water bodies within and adjoining the submission lands.</w:t>
      </w:r>
    </w:p>
    <w:p w14:paraId="68600B58" w14:textId="77777777" w:rsidR="00491A46" w:rsidRDefault="00000000">
      <w:r>
        <w:t>The requirement for an Ecological Impact Assessment is necessary, but the objective should also state the outcome to be achieved. It should require the retention and protection of significant woodland, mature trees, hedgerows, water features and ecological corridors wherever practicable, together with evidence-based buffers and construction protection zones.</w:t>
      </w:r>
    </w:p>
    <w:p w14:paraId="47A0104D" w14:textId="77777777" w:rsidR="00491A46" w:rsidRDefault="00000000">
      <w:r>
        <w:t xml:space="preserve">Nature-based drainage should complement, not replace, the protection of existing natural assets. Mature woodland and established ecological networks cannot be replicated quickly through replacement planting. Any unavoidable loss should be demonstrably minimised and subject to </w:t>
      </w:r>
      <w:r>
        <w:lastRenderedPageBreak/>
        <w:t>meaningful, measurable and long-term compensation only after avoidance and retention have been fully examined.</w:t>
      </w:r>
    </w:p>
    <w:p w14:paraId="629E31F0" w14:textId="77777777" w:rsidR="00491A46" w:rsidRDefault="00000000">
      <w:pPr>
        <w:pStyle w:val="Heading1"/>
      </w:pPr>
      <w:r>
        <w:t>9. Heritage, Archaeology and Historic Landscape</w:t>
      </w:r>
    </w:p>
    <w:p w14:paraId="69EEA777" w14:textId="77777777" w:rsidR="00491A46" w:rsidRDefault="00000000">
      <w:r>
        <w:t>Future development should recognise the relationship between the Citywest lands and the long-established villages of Saggart, Rathcoole, Newcastle and Brittas. The relevant heritage is not limited to individual protected structures. It includes archaeology, historic routes and field boundaries, mature landscape features, village approaches, views, streetscape character and the setting of heritage assets.</w:t>
      </w:r>
    </w:p>
    <w:p w14:paraId="039B73EC" w14:textId="77777777" w:rsidR="00491A46" w:rsidRDefault="00000000">
      <w:r>
        <w:t>The final objective should require appropriate archaeological, architectural heritage and historic landscape assessment at masterplan and application stage. New development should be designed to integrate with, rather than visually or functionally overwhelm, the surrounding historic settlements.</w:t>
      </w:r>
    </w:p>
    <w:p w14:paraId="7DBAE997" w14:textId="77777777" w:rsidR="00491A46" w:rsidRDefault="00000000">
      <w:pPr>
        <w:pStyle w:val="Heading1"/>
      </w:pPr>
      <w:r>
        <w:t>10. Education, Water, Wastewater and Other Capacity</w:t>
      </w:r>
    </w:p>
    <w:p w14:paraId="06A0434A" w14:textId="77777777" w:rsidR="00491A46" w:rsidRDefault="00000000">
      <w:r>
        <w:t>The education, water, wastewater and service-capacity concerns set out in SVRA’s original submission remain relied upon. The current safeguards do not expressly require confirmation that adequate primary and post-primary capacity, potable water, wastewater treatment and network capacity are available to support the scale and timing of development.</w:t>
      </w:r>
    </w:p>
    <w:p w14:paraId="4D42240E" w14:textId="77777777" w:rsidR="00491A46" w:rsidRDefault="00000000">
      <w:r>
        <w:t>SVRA requests consultation with the Department of Education and Youth and Uisce Éireann, with written capacity confirmation and an infrastructure delivery schedule forming part of any masterplan or planning application. Where upgrades are required, occupation should be linked to their completion rather than merely to an intention to deliver them at a later date.</w:t>
      </w:r>
    </w:p>
    <w:p w14:paraId="7D6E136F" w14:textId="77777777" w:rsidR="00491A46" w:rsidRDefault="00000000">
      <w:pPr>
        <w:pStyle w:val="Heading1"/>
      </w:pPr>
      <w:r>
        <w:t>11. Requested Strengthening of the Proposed Material Alteration</w:t>
      </w:r>
    </w:p>
    <w:p w14:paraId="02EC8E2D" w14:textId="77777777" w:rsidR="00491A46" w:rsidRDefault="00000000">
      <w:r>
        <w:t>SVRA respectfully requests that the Council retain CS8 SLO2 and add clear wording, or an associated additional Specific Local Objective, to secure the following:</w:t>
      </w:r>
    </w:p>
    <w:p w14:paraId="481709C5" w14:textId="77777777" w:rsidR="00491A46" w:rsidRDefault="00000000">
      <w:pPr>
        <w:pStyle w:val="Recommendation"/>
      </w:pPr>
      <w:r>
        <w:rPr>
          <w:b/>
        </w:rPr>
        <w:t xml:space="preserve">1. </w:t>
      </w:r>
      <w:r>
        <w:t>No adoption of the proposed rezoning. This remains SVRA’s primary request.</w:t>
      </w:r>
    </w:p>
    <w:p w14:paraId="36DEB7F7" w14:textId="77777777" w:rsidR="00491A46" w:rsidRDefault="00000000">
      <w:pPr>
        <w:pStyle w:val="Recommendation"/>
      </w:pPr>
      <w:r>
        <w:rPr>
          <w:b/>
        </w:rPr>
        <w:t xml:space="preserve">2. </w:t>
      </w:r>
      <w:r>
        <w:t>If the rezoning proceeds, a comprehensive masterplan and Social Infrastructure Audit covering Citywest, Saggart, Rathcoole, Newcastle and Brittas before the first substantial residential application is determined.</w:t>
      </w:r>
    </w:p>
    <w:p w14:paraId="194450B4" w14:textId="77777777" w:rsidR="00491A46" w:rsidRDefault="00000000">
      <w:pPr>
        <w:pStyle w:val="Recommendation"/>
      </w:pPr>
      <w:r>
        <w:rPr>
          <w:b/>
        </w:rPr>
        <w:t xml:space="preserve">3. </w:t>
      </w:r>
      <w:r>
        <w:t>Consultation with the Department of Education and Youth and confirmation of sufficient primary and post-primary capacity, or a binding programme for additional capacity, before relevant residential occupation.</w:t>
      </w:r>
    </w:p>
    <w:p w14:paraId="6CD8D84A" w14:textId="77777777" w:rsidR="00491A46" w:rsidRDefault="00000000">
      <w:pPr>
        <w:pStyle w:val="Recommendation"/>
      </w:pPr>
      <w:r>
        <w:rPr>
          <w:b/>
        </w:rPr>
        <w:t xml:space="preserve">4. </w:t>
      </w:r>
      <w:r>
        <w:t>Confirmation from Uisce Éireann and the relevant drainage authority that potable water, wastewater and surface-water infrastructure is available, with required upgrades completed in accordance with binding occupation triggers.</w:t>
      </w:r>
    </w:p>
    <w:p w14:paraId="55EE72FC" w14:textId="77777777" w:rsidR="00491A46" w:rsidRDefault="00000000">
      <w:pPr>
        <w:pStyle w:val="Recommendation"/>
      </w:pPr>
      <w:r>
        <w:rPr>
          <w:b/>
        </w:rPr>
        <w:t xml:space="preserve">5. </w:t>
      </w:r>
      <w:r>
        <w:t>A phasing schedule linking defined numbers of occupied homes to the operational delivery of the community centre/sports hall, outdoor pitches, pavilion, local park, youth facilities, active travel connection and other essential infrastructure.</w:t>
      </w:r>
    </w:p>
    <w:p w14:paraId="37BE2129" w14:textId="77777777" w:rsidR="00491A46" w:rsidRDefault="00000000">
      <w:pPr>
        <w:pStyle w:val="Recommendation"/>
      </w:pPr>
      <w:r>
        <w:rPr>
          <w:b/>
        </w:rPr>
        <w:t xml:space="preserve">6. </w:t>
      </w:r>
      <w:r>
        <w:t>Explicit incorporation of the substance of the motion proposed by Cllr Francis Timmons and passed by the elected members but omitted from the published Material Alterations.</w:t>
      </w:r>
    </w:p>
    <w:p w14:paraId="140B0627" w14:textId="77777777" w:rsidR="00491A46" w:rsidRDefault="00000000">
      <w:pPr>
        <w:pStyle w:val="Recommendation"/>
      </w:pPr>
      <w:r>
        <w:rPr>
          <w:b/>
        </w:rPr>
        <w:t xml:space="preserve">7. </w:t>
      </w:r>
      <w:r>
        <w:t>Public accessibility, long-term management and delivery arrangements for all community, sports and recreational facilities.</w:t>
      </w:r>
    </w:p>
    <w:p w14:paraId="05F7BAFF" w14:textId="77777777" w:rsidR="00491A46" w:rsidRDefault="00000000">
      <w:pPr>
        <w:pStyle w:val="Recommendation"/>
      </w:pPr>
      <w:r>
        <w:rPr>
          <w:b/>
        </w:rPr>
        <w:t xml:space="preserve">8. </w:t>
      </w:r>
      <w:r>
        <w:t>Early delivery of the Mill Road-Garter Lane active travel link, rather than leaving it to an undefined final phase.</w:t>
      </w:r>
    </w:p>
    <w:p w14:paraId="0BCD7E4A" w14:textId="77777777" w:rsidR="00491A46" w:rsidRDefault="00000000">
      <w:pPr>
        <w:pStyle w:val="Recommendation"/>
      </w:pPr>
      <w:r>
        <w:rPr>
          <w:b/>
        </w:rPr>
        <w:lastRenderedPageBreak/>
        <w:t xml:space="preserve">9. </w:t>
      </w:r>
      <w:r>
        <w:t>Retention and protection of significant woodland, mature trees, hedgerows, ecological corridors, water features and heritage landscape features, supported by adequate buffers and construction protection measures.</w:t>
      </w:r>
    </w:p>
    <w:p w14:paraId="65729274" w14:textId="77777777" w:rsidR="00491A46" w:rsidRDefault="00000000">
      <w:pPr>
        <w:pStyle w:val="Recommendation"/>
      </w:pPr>
      <w:r>
        <w:rPr>
          <w:b/>
        </w:rPr>
        <w:t xml:space="preserve">10. </w:t>
      </w:r>
      <w:r>
        <w:t>Assessment and mitigation of cumulative environmental, transport and social-infrastructure effects across the wider western villages.</w:t>
      </w:r>
    </w:p>
    <w:p w14:paraId="77696778" w14:textId="77777777" w:rsidR="00491A46" w:rsidRDefault="00000000">
      <w:pPr>
        <w:pStyle w:val="Recommendation"/>
      </w:pPr>
      <w:r>
        <w:rPr>
          <w:b/>
        </w:rPr>
        <w:t xml:space="preserve">11. </w:t>
      </w:r>
      <w:r>
        <w:t>A requirement that no substantial occupation occur while critical drainage or other infrastructure remains dependent on incomplete or unsecured works in a later phase or adjoining development.</w:t>
      </w:r>
    </w:p>
    <w:p w14:paraId="21B3660D" w14:textId="77777777" w:rsidR="00491A46" w:rsidRDefault="00000000">
      <w:pPr>
        <w:pStyle w:val="Recommendation"/>
      </w:pPr>
      <w:r>
        <w:rPr>
          <w:b/>
        </w:rPr>
        <w:t xml:space="preserve">12. </w:t>
      </w:r>
      <w:r>
        <w:t>Protection of archaeology, historic village character, heritage settings, significant views and historic landscape features.</w:t>
      </w:r>
    </w:p>
    <w:p w14:paraId="7A5EB325" w14:textId="77777777" w:rsidR="00491A46" w:rsidRDefault="00000000">
      <w:pPr>
        <w:pStyle w:val="Heading1"/>
      </w:pPr>
      <w:r>
        <w:t>12. Conclusion</w:t>
      </w:r>
    </w:p>
    <w:p w14:paraId="1E0B9C03" w14:textId="77777777" w:rsidR="00491A46" w:rsidRDefault="00000000">
      <w:r>
        <w:t>SVRA’s primary position remains that the proposed rezoning should not be adopted. The original submission established why the rezoning is premature and why the cumulative impacts on infrastructure, the environment and surrounding communities have not been satisfactorily resolved.</w:t>
      </w:r>
    </w:p>
    <w:p w14:paraId="3E6CE573" w14:textId="77777777" w:rsidR="00491A46" w:rsidRDefault="00000000">
      <w:r>
        <w:t>If the Council nevertheless proceeds, it has an opportunity and responsibility to ensure that the final Variation contains enforceable safeguards rather than broad aspirations. The Council’s own Capital Programme confirms that important infrastructure remains to be delivered. The recent drainage correspondence demonstrates what can happen when essential infrastructure is incomplete or dependent on another development. The principal landowner’s support for CS8 SLO2 confirms that these safeguards are compatible with the development process.</w:t>
      </w:r>
    </w:p>
    <w:p w14:paraId="72AB35C1" w14:textId="77777777" w:rsidR="00491A46" w:rsidRDefault="00000000">
      <w:r>
        <w:t>SVRA therefore asks the Council to retain and strengthen CS8 SLO2, incorporate the substance of the adopted Cllr Timmons motion, and make housing occupation conditional upon the timely delivery of the infrastructure, environmental protection and community facilities required by both existing and future residents.</w:t>
      </w:r>
    </w:p>
    <w:p w14:paraId="2D3A2A2C" w14:textId="77777777" w:rsidR="00491A46" w:rsidRDefault="00000000">
      <w:pPr>
        <w:pStyle w:val="SourceNote"/>
      </w:pPr>
      <w:r>
        <w:t>Sources are identified in the relevant sections and appendices. SVRA’s original submission remains incorporated by reference.</w:t>
      </w:r>
    </w:p>
    <w:p w14:paraId="2B70939B" w14:textId="77777777" w:rsidR="00491A46" w:rsidRDefault="00000000">
      <w:r>
        <w:br w:type="page"/>
      </w:r>
    </w:p>
    <w:p w14:paraId="18DB6EF0" w14:textId="77777777" w:rsidR="00491A46" w:rsidRDefault="00000000">
      <w:pPr>
        <w:pStyle w:val="Heading1"/>
      </w:pPr>
      <w:r>
        <w:lastRenderedPageBreak/>
        <w:t>Appendix 1</w:t>
      </w:r>
    </w:p>
    <w:p w14:paraId="353BA78F" w14:textId="77777777" w:rsidR="00491A46" w:rsidRDefault="00000000">
      <w:r>
        <w:rPr>
          <w:b/>
          <w:color w:val="1F4E79"/>
          <w:sz w:val="28"/>
        </w:rPr>
        <w:t>Relevant Extracts from the SDCC 3 Year Capital Programme 2025-2027</w:t>
      </w:r>
    </w:p>
    <w:p w14:paraId="4C97DF88" w14:textId="77777777" w:rsidR="00491A46" w:rsidRDefault="00000000">
      <w:r>
        <w:t>This appendix summarises the capital projects most directly relevant to the proposed Citywest rezoning. The projects are welcomed. Their significance is that they demonstrate recognised infrastructure needs and the importance of linking housing delivery to confirmed delivery dates and occupation triggers.</w:t>
      </w:r>
    </w:p>
    <w:p w14:paraId="7967424A" w14:textId="77777777" w:rsidR="00491A46" w:rsidRDefault="00000000">
      <w:r>
        <w:t>The Capital Programme contains important individual projects, but it does not demonstrate that the infrastructure needs generated by the proposed rezoning have already been met or that the projects will be delivered before housing occupation. It also does not provide an equivalent integrated investment and delivery framework across Saggart, Rathcoole, Newcastle and Brittas. The final Variation should therefore convert relevant commitments into enforceable phasing and capacity requirements.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381"/>
        <w:gridCol w:w="1474"/>
        <w:gridCol w:w="1701"/>
        <w:gridCol w:w="3458"/>
      </w:tblGrid>
      <w:tr w:rsidR="00491A46" w14:paraId="270AF647" w14:textId="77777777">
        <w:trPr>
          <w:cantSplit/>
          <w:tblHeader/>
          <w:jc w:val="center"/>
        </w:trPr>
        <w:tc>
          <w:tcPr>
            <w:tcW w:w="2381" w:type="dxa"/>
            <w:shd w:val="clear" w:color="auto" w:fill="1F4E79"/>
            <w:tcMar>
              <w:top w:w="80" w:type="dxa"/>
              <w:left w:w="90" w:type="dxa"/>
              <w:bottom w:w="80" w:type="dxa"/>
              <w:right w:w="90" w:type="dxa"/>
            </w:tcMar>
          </w:tcPr>
          <w:p w14:paraId="09670194" w14:textId="77777777" w:rsidR="00491A46" w:rsidRDefault="00000000">
            <w:pPr>
              <w:jc w:val="center"/>
            </w:pPr>
            <w:r>
              <w:rPr>
                <w:b/>
                <w:color w:val="FFFFFF"/>
                <w:sz w:val="18"/>
              </w:rPr>
              <w:t>Project / commitment</w:t>
            </w:r>
          </w:p>
        </w:tc>
        <w:tc>
          <w:tcPr>
            <w:tcW w:w="1474" w:type="dxa"/>
            <w:shd w:val="clear" w:color="auto" w:fill="1F4E79"/>
            <w:tcMar>
              <w:top w:w="80" w:type="dxa"/>
              <w:left w:w="90" w:type="dxa"/>
              <w:bottom w:w="80" w:type="dxa"/>
              <w:right w:w="90" w:type="dxa"/>
            </w:tcMar>
          </w:tcPr>
          <w:p w14:paraId="4FB4456F" w14:textId="77777777" w:rsidR="00491A46" w:rsidRDefault="00000000">
            <w:pPr>
              <w:jc w:val="center"/>
            </w:pPr>
            <w:r>
              <w:rPr>
                <w:b/>
                <w:color w:val="FFFFFF"/>
                <w:sz w:val="18"/>
              </w:rPr>
              <w:t>2025-2027 provision</w:t>
            </w:r>
          </w:p>
        </w:tc>
        <w:tc>
          <w:tcPr>
            <w:tcW w:w="1701" w:type="dxa"/>
            <w:shd w:val="clear" w:color="auto" w:fill="1F4E79"/>
            <w:tcMar>
              <w:top w:w="80" w:type="dxa"/>
              <w:left w:w="90" w:type="dxa"/>
              <w:bottom w:w="80" w:type="dxa"/>
              <w:right w:w="90" w:type="dxa"/>
            </w:tcMar>
          </w:tcPr>
          <w:p w14:paraId="51D895C7" w14:textId="77777777" w:rsidR="00491A46" w:rsidRDefault="00000000">
            <w:pPr>
              <w:jc w:val="center"/>
            </w:pPr>
            <w:r>
              <w:rPr>
                <w:b/>
                <w:color w:val="FFFFFF"/>
                <w:sz w:val="18"/>
              </w:rPr>
              <w:t>Programme location</w:t>
            </w:r>
          </w:p>
        </w:tc>
        <w:tc>
          <w:tcPr>
            <w:tcW w:w="3458" w:type="dxa"/>
            <w:shd w:val="clear" w:color="auto" w:fill="1F4E79"/>
            <w:tcMar>
              <w:top w:w="80" w:type="dxa"/>
              <w:left w:w="90" w:type="dxa"/>
              <w:bottom w:w="80" w:type="dxa"/>
              <w:right w:w="90" w:type="dxa"/>
            </w:tcMar>
          </w:tcPr>
          <w:p w14:paraId="7CF6E70E" w14:textId="77777777" w:rsidR="00491A46" w:rsidRDefault="00000000">
            <w:pPr>
              <w:jc w:val="center"/>
            </w:pPr>
            <w:r>
              <w:rPr>
                <w:b/>
                <w:color w:val="FFFFFF"/>
                <w:sz w:val="18"/>
              </w:rPr>
              <w:t>Relevance to MA5.1</w:t>
            </w:r>
          </w:p>
        </w:tc>
      </w:tr>
      <w:tr w:rsidR="00491A46" w14:paraId="6B4E6601" w14:textId="77777777">
        <w:trPr>
          <w:cantSplit/>
          <w:jc w:val="center"/>
        </w:trPr>
        <w:tc>
          <w:tcPr>
            <w:tcW w:w="2381" w:type="dxa"/>
            <w:tcMar>
              <w:top w:w="70" w:type="dxa"/>
              <w:left w:w="90" w:type="dxa"/>
              <w:bottom w:w="70" w:type="dxa"/>
              <w:right w:w="90" w:type="dxa"/>
            </w:tcMar>
          </w:tcPr>
          <w:p w14:paraId="6A96D4BC" w14:textId="77777777" w:rsidR="00491A46" w:rsidRDefault="00000000">
            <w:pPr>
              <w:spacing w:after="0"/>
            </w:pPr>
            <w:r>
              <w:rPr>
                <w:b/>
                <w:sz w:val="16"/>
              </w:rPr>
              <w:t>Citywest Community Centre</w:t>
            </w:r>
          </w:p>
        </w:tc>
        <w:tc>
          <w:tcPr>
            <w:tcW w:w="1474" w:type="dxa"/>
            <w:tcMar>
              <w:top w:w="70" w:type="dxa"/>
              <w:left w:w="90" w:type="dxa"/>
              <w:bottom w:w="70" w:type="dxa"/>
              <w:right w:w="90" w:type="dxa"/>
            </w:tcMar>
          </w:tcPr>
          <w:p w14:paraId="376C336C" w14:textId="77777777" w:rsidR="00491A46" w:rsidRDefault="00000000">
            <w:pPr>
              <w:spacing w:after="0"/>
            </w:pPr>
            <w:r>
              <w:rPr>
                <w:sz w:val="16"/>
              </w:rPr>
              <w:t>€5.5 million</w:t>
            </w:r>
          </w:p>
        </w:tc>
        <w:tc>
          <w:tcPr>
            <w:tcW w:w="1701" w:type="dxa"/>
            <w:tcMar>
              <w:top w:w="70" w:type="dxa"/>
              <w:left w:w="90" w:type="dxa"/>
              <w:bottom w:w="70" w:type="dxa"/>
              <w:right w:w="90" w:type="dxa"/>
            </w:tcMar>
          </w:tcPr>
          <w:p w14:paraId="4CFD8B21" w14:textId="77777777" w:rsidR="00491A46" w:rsidRDefault="00000000">
            <w:pPr>
              <w:spacing w:after="0"/>
            </w:pPr>
            <w:r>
              <w:rPr>
                <w:sz w:val="16"/>
              </w:rPr>
              <w:t>Printed p.10; narrative pp.29-30</w:t>
            </w:r>
          </w:p>
        </w:tc>
        <w:tc>
          <w:tcPr>
            <w:tcW w:w="3458" w:type="dxa"/>
            <w:tcMar>
              <w:top w:w="70" w:type="dxa"/>
              <w:left w:w="90" w:type="dxa"/>
              <w:bottom w:w="70" w:type="dxa"/>
              <w:right w:w="90" w:type="dxa"/>
            </w:tcMar>
          </w:tcPr>
          <w:p w14:paraId="35CF431C" w14:textId="77777777" w:rsidR="00491A46" w:rsidRDefault="00000000">
            <w:pPr>
              <w:spacing w:after="0"/>
            </w:pPr>
            <w:r>
              <w:rPr>
                <w:sz w:val="16"/>
              </w:rPr>
              <w:t>Confirms a major community-infrastructure need. Most expenditure is in 2026, so a binding delivery phase is required.</w:t>
            </w:r>
          </w:p>
        </w:tc>
      </w:tr>
      <w:tr w:rsidR="00491A46" w14:paraId="2B40E786" w14:textId="77777777">
        <w:trPr>
          <w:cantSplit/>
          <w:jc w:val="center"/>
        </w:trPr>
        <w:tc>
          <w:tcPr>
            <w:tcW w:w="2381" w:type="dxa"/>
            <w:shd w:val="clear" w:color="auto" w:fill="F4F7FA"/>
            <w:tcMar>
              <w:top w:w="70" w:type="dxa"/>
              <w:left w:w="90" w:type="dxa"/>
              <w:bottom w:w="70" w:type="dxa"/>
              <w:right w:w="90" w:type="dxa"/>
            </w:tcMar>
          </w:tcPr>
          <w:p w14:paraId="39AC3697" w14:textId="77777777" w:rsidR="00491A46" w:rsidRDefault="00000000">
            <w:pPr>
              <w:spacing w:after="0"/>
            </w:pPr>
            <w:r>
              <w:rPr>
                <w:b/>
                <w:sz w:val="16"/>
              </w:rPr>
              <w:t>Citywest Youth Facility fit-out</w:t>
            </w:r>
          </w:p>
        </w:tc>
        <w:tc>
          <w:tcPr>
            <w:tcW w:w="1474" w:type="dxa"/>
            <w:shd w:val="clear" w:color="auto" w:fill="F4F7FA"/>
            <w:tcMar>
              <w:top w:w="70" w:type="dxa"/>
              <w:left w:w="90" w:type="dxa"/>
              <w:bottom w:w="70" w:type="dxa"/>
              <w:right w:w="90" w:type="dxa"/>
            </w:tcMar>
          </w:tcPr>
          <w:p w14:paraId="1EB70D02" w14:textId="77777777" w:rsidR="00491A46" w:rsidRDefault="00000000">
            <w:pPr>
              <w:spacing w:after="0"/>
            </w:pPr>
            <w:r>
              <w:rPr>
                <w:sz w:val="16"/>
              </w:rPr>
              <w:t>€0.5 million</w:t>
            </w:r>
          </w:p>
        </w:tc>
        <w:tc>
          <w:tcPr>
            <w:tcW w:w="1701" w:type="dxa"/>
            <w:shd w:val="clear" w:color="auto" w:fill="F4F7FA"/>
            <w:tcMar>
              <w:top w:w="70" w:type="dxa"/>
              <w:left w:w="90" w:type="dxa"/>
              <w:bottom w:w="70" w:type="dxa"/>
              <w:right w:w="90" w:type="dxa"/>
            </w:tcMar>
          </w:tcPr>
          <w:p w14:paraId="6F7ACA82" w14:textId="77777777" w:rsidR="00491A46" w:rsidRDefault="00000000">
            <w:pPr>
              <w:spacing w:after="0"/>
            </w:pPr>
            <w:r>
              <w:rPr>
                <w:sz w:val="16"/>
              </w:rPr>
              <w:t>Printed p.10; narrative pp.29-30</w:t>
            </w:r>
          </w:p>
        </w:tc>
        <w:tc>
          <w:tcPr>
            <w:tcW w:w="3458" w:type="dxa"/>
            <w:shd w:val="clear" w:color="auto" w:fill="F4F7FA"/>
            <w:tcMar>
              <w:top w:w="70" w:type="dxa"/>
              <w:left w:w="90" w:type="dxa"/>
              <w:bottom w:w="70" w:type="dxa"/>
              <w:right w:w="90" w:type="dxa"/>
            </w:tcMar>
          </w:tcPr>
          <w:p w14:paraId="54B7D3B0" w14:textId="77777777" w:rsidR="00491A46" w:rsidRDefault="00000000">
            <w:pPr>
              <w:spacing w:after="0"/>
            </w:pPr>
            <w:r>
              <w:rPr>
                <w:sz w:val="16"/>
              </w:rPr>
              <w:t>Confirms an identified youth-facility need but does not replace broader youth recreation provision.</w:t>
            </w:r>
          </w:p>
        </w:tc>
      </w:tr>
      <w:tr w:rsidR="00491A46" w14:paraId="3DFA20B5" w14:textId="77777777">
        <w:trPr>
          <w:cantSplit/>
          <w:jc w:val="center"/>
        </w:trPr>
        <w:tc>
          <w:tcPr>
            <w:tcW w:w="2381" w:type="dxa"/>
            <w:tcMar>
              <w:top w:w="70" w:type="dxa"/>
              <w:left w:w="90" w:type="dxa"/>
              <w:bottom w:w="70" w:type="dxa"/>
              <w:right w:w="90" w:type="dxa"/>
            </w:tcMar>
          </w:tcPr>
          <w:p w14:paraId="73FEB853" w14:textId="77777777" w:rsidR="00491A46" w:rsidRDefault="00000000">
            <w:pPr>
              <w:spacing w:after="0"/>
            </w:pPr>
            <w:r>
              <w:rPr>
                <w:b/>
                <w:sz w:val="16"/>
              </w:rPr>
              <w:t>Rathcoole Pitches and Pavilion</w:t>
            </w:r>
          </w:p>
        </w:tc>
        <w:tc>
          <w:tcPr>
            <w:tcW w:w="1474" w:type="dxa"/>
            <w:tcMar>
              <w:top w:w="70" w:type="dxa"/>
              <w:left w:w="90" w:type="dxa"/>
              <w:bottom w:w="70" w:type="dxa"/>
              <w:right w:w="90" w:type="dxa"/>
            </w:tcMar>
          </w:tcPr>
          <w:p w14:paraId="0DF22E48" w14:textId="77777777" w:rsidR="00491A46" w:rsidRDefault="00000000">
            <w:pPr>
              <w:spacing w:after="0"/>
            </w:pPr>
            <w:r>
              <w:rPr>
                <w:sz w:val="16"/>
              </w:rPr>
              <w:t>€1.0 million</w:t>
            </w:r>
          </w:p>
        </w:tc>
        <w:tc>
          <w:tcPr>
            <w:tcW w:w="1701" w:type="dxa"/>
            <w:tcMar>
              <w:top w:w="70" w:type="dxa"/>
              <w:left w:w="90" w:type="dxa"/>
              <w:bottom w:w="70" w:type="dxa"/>
              <w:right w:w="90" w:type="dxa"/>
            </w:tcMar>
          </w:tcPr>
          <w:p w14:paraId="1EE649D0" w14:textId="77777777" w:rsidR="00491A46" w:rsidRDefault="00000000">
            <w:pPr>
              <w:spacing w:after="0"/>
            </w:pPr>
            <w:r>
              <w:rPr>
                <w:sz w:val="16"/>
              </w:rPr>
              <w:t>Printed p.9</w:t>
            </w:r>
          </w:p>
        </w:tc>
        <w:tc>
          <w:tcPr>
            <w:tcW w:w="3458" w:type="dxa"/>
            <w:tcMar>
              <w:top w:w="70" w:type="dxa"/>
              <w:left w:w="90" w:type="dxa"/>
              <w:bottom w:w="70" w:type="dxa"/>
              <w:right w:w="90" w:type="dxa"/>
            </w:tcMar>
          </w:tcPr>
          <w:p w14:paraId="03AA793F" w14:textId="77777777" w:rsidR="00491A46" w:rsidRDefault="00000000">
            <w:pPr>
              <w:spacing w:after="0"/>
            </w:pPr>
            <w:r>
              <w:rPr>
                <w:sz w:val="16"/>
              </w:rPr>
              <w:t>Supports the case for pitches and a pavilion, but should not replace site-related provision for added Citywest population.</w:t>
            </w:r>
          </w:p>
        </w:tc>
      </w:tr>
      <w:tr w:rsidR="00491A46" w14:paraId="79E15901" w14:textId="77777777">
        <w:trPr>
          <w:cantSplit/>
          <w:jc w:val="center"/>
        </w:trPr>
        <w:tc>
          <w:tcPr>
            <w:tcW w:w="2381" w:type="dxa"/>
            <w:shd w:val="clear" w:color="auto" w:fill="F4F7FA"/>
            <w:tcMar>
              <w:top w:w="70" w:type="dxa"/>
              <w:left w:w="90" w:type="dxa"/>
              <w:bottom w:w="70" w:type="dxa"/>
              <w:right w:w="90" w:type="dxa"/>
            </w:tcMar>
          </w:tcPr>
          <w:p w14:paraId="3FC589C9" w14:textId="77777777" w:rsidR="00491A46" w:rsidRDefault="00000000">
            <w:pPr>
              <w:spacing w:after="0"/>
            </w:pPr>
            <w:r>
              <w:rPr>
                <w:b/>
                <w:sz w:val="16"/>
              </w:rPr>
              <w:t>Citywest to Rathfarnham Cycle Scheme</w:t>
            </w:r>
          </w:p>
        </w:tc>
        <w:tc>
          <w:tcPr>
            <w:tcW w:w="1474" w:type="dxa"/>
            <w:shd w:val="clear" w:color="auto" w:fill="F4F7FA"/>
            <w:tcMar>
              <w:top w:w="70" w:type="dxa"/>
              <w:left w:w="90" w:type="dxa"/>
              <w:bottom w:w="70" w:type="dxa"/>
              <w:right w:w="90" w:type="dxa"/>
            </w:tcMar>
          </w:tcPr>
          <w:p w14:paraId="1843A92E" w14:textId="77777777" w:rsidR="00491A46" w:rsidRDefault="00000000">
            <w:pPr>
              <w:spacing w:after="0"/>
            </w:pPr>
            <w:r>
              <w:rPr>
                <w:sz w:val="16"/>
              </w:rPr>
              <w:t>€2.5 million</w:t>
            </w:r>
          </w:p>
        </w:tc>
        <w:tc>
          <w:tcPr>
            <w:tcW w:w="1701" w:type="dxa"/>
            <w:shd w:val="clear" w:color="auto" w:fill="F4F7FA"/>
            <w:tcMar>
              <w:top w:w="70" w:type="dxa"/>
              <w:left w:w="90" w:type="dxa"/>
              <w:bottom w:w="70" w:type="dxa"/>
              <w:right w:w="90" w:type="dxa"/>
            </w:tcMar>
          </w:tcPr>
          <w:p w14:paraId="76BE1649" w14:textId="77777777" w:rsidR="00491A46" w:rsidRDefault="00000000">
            <w:pPr>
              <w:spacing w:after="0"/>
            </w:pPr>
            <w:r>
              <w:rPr>
                <w:sz w:val="16"/>
              </w:rPr>
              <w:t>Printed p.7; narrative pp.15-16</w:t>
            </w:r>
          </w:p>
        </w:tc>
        <w:tc>
          <w:tcPr>
            <w:tcW w:w="3458" w:type="dxa"/>
            <w:shd w:val="clear" w:color="auto" w:fill="F4F7FA"/>
            <w:tcMar>
              <w:top w:w="70" w:type="dxa"/>
              <w:left w:w="90" w:type="dxa"/>
              <w:bottom w:w="70" w:type="dxa"/>
              <w:right w:w="90" w:type="dxa"/>
            </w:tcMar>
          </w:tcPr>
          <w:p w14:paraId="7569E0C8" w14:textId="77777777" w:rsidR="00491A46" w:rsidRDefault="00000000">
            <w:pPr>
              <w:spacing w:after="0"/>
            </w:pPr>
            <w:r>
              <w:rPr>
                <w:sz w:val="16"/>
              </w:rPr>
              <w:t>Does not set the delivery timing for the Mill Road-Garter Lane link. An early-phase trigger remains necessary.</w:t>
            </w:r>
          </w:p>
        </w:tc>
      </w:tr>
      <w:tr w:rsidR="00491A46" w14:paraId="0C7E7611" w14:textId="77777777">
        <w:trPr>
          <w:cantSplit/>
          <w:jc w:val="center"/>
        </w:trPr>
        <w:tc>
          <w:tcPr>
            <w:tcW w:w="2381" w:type="dxa"/>
            <w:tcMar>
              <w:top w:w="70" w:type="dxa"/>
              <w:left w:w="90" w:type="dxa"/>
              <w:bottom w:w="70" w:type="dxa"/>
              <w:right w:w="90" w:type="dxa"/>
            </w:tcMar>
          </w:tcPr>
          <w:p w14:paraId="55208169" w14:textId="77777777" w:rsidR="00491A46" w:rsidRDefault="00000000">
            <w:pPr>
              <w:spacing w:after="0"/>
            </w:pPr>
            <w:r>
              <w:rPr>
                <w:b/>
                <w:sz w:val="16"/>
              </w:rPr>
              <w:t>Newcastle, Rathcoole and Saggart Surface Water Drainage Scheme</w:t>
            </w:r>
          </w:p>
        </w:tc>
        <w:tc>
          <w:tcPr>
            <w:tcW w:w="1474" w:type="dxa"/>
            <w:tcMar>
              <w:top w:w="70" w:type="dxa"/>
              <w:left w:w="90" w:type="dxa"/>
              <w:bottom w:w="70" w:type="dxa"/>
              <w:right w:w="90" w:type="dxa"/>
            </w:tcMar>
          </w:tcPr>
          <w:p w14:paraId="5B117155" w14:textId="77777777" w:rsidR="00491A46" w:rsidRDefault="00000000">
            <w:pPr>
              <w:spacing w:after="0"/>
            </w:pPr>
            <w:r>
              <w:rPr>
                <w:sz w:val="16"/>
              </w:rPr>
              <w:t>€2.52 million</w:t>
            </w:r>
          </w:p>
        </w:tc>
        <w:tc>
          <w:tcPr>
            <w:tcW w:w="1701" w:type="dxa"/>
            <w:tcMar>
              <w:top w:w="70" w:type="dxa"/>
              <w:left w:w="90" w:type="dxa"/>
              <w:bottom w:w="70" w:type="dxa"/>
              <w:right w:w="90" w:type="dxa"/>
            </w:tcMar>
          </w:tcPr>
          <w:p w14:paraId="4735C210" w14:textId="77777777" w:rsidR="00491A46" w:rsidRDefault="00000000">
            <w:pPr>
              <w:spacing w:after="0"/>
            </w:pPr>
            <w:r>
              <w:rPr>
                <w:sz w:val="16"/>
              </w:rPr>
              <w:t>Printed p.8; narrative p.20</w:t>
            </w:r>
          </w:p>
        </w:tc>
        <w:tc>
          <w:tcPr>
            <w:tcW w:w="3458" w:type="dxa"/>
            <w:tcMar>
              <w:top w:w="70" w:type="dxa"/>
              <w:left w:w="90" w:type="dxa"/>
              <w:bottom w:w="70" w:type="dxa"/>
              <w:right w:w="90" w:type="dxa"/>
            </w:tcMar>
          </w:tcPr>
          <w:p w14:paraId="7462C723" w14:textId="77777777" w:rsidR="00491A46" w:rsidRDefault="00000000">
            <w:pPr>
              <w:spacing w:after="0"/>
            </w:pPr>
            <w:r>
              <w:rPr>
                <w:sz w:val="16"/>
              </w:rPr>
              <w:t>Confirms strategic drainage needs. The 2024 study recommended improvement works.</w:t>
            </w:r>
          </w:p>
        </w:tc>
      </w:tr>
      <w:tr w:rsidR="00491A46" w14:paraId="5FEAA418" w14:textId="77777777">
        <w:trPr>
          <w:cantSplit/>
          <w:jc w:val="center"/>
        </w:trPr>
        <w:tc>
          <w:tcPr>
            <w:tcW w:w="2381" w:type="dxa"/>
            <w:shd w:val="clear" w:color="auto" w:fill="F4F7FA"/>
            <w:tcMar>
              <w:top w:w="70" w:type="dxa"/>
              <w:left w:w="90" w:type="dxa"/>
              <w:bottom w:w="70" w:type="dxa"/>
              <w:right w:w="90" w:type="dxa"/>
            </w:tcMar>
          </w:tcPr>
          <w:p w14:paraId="6A841076" w14:textId="77777777" w:rsidR="00491A46" w:rsidRDefault="00000000">
            <w:pPr>
              <w:spacing w:after="0"/>
            </w:pPr>
            <w:r>
              <w:rPr>
                <w:b/>
                <w:sz w:val="16"/>
              </w:rPr>
              <w:t>Newcastle Surface Water Scheme Phase 1</w:t>
            </w:r>
          </w:p>
        </w:tc>
        <w:tc>
          <w:tcPr>
            <w:tcW w:w="1474" w:type="dxa"/>
            <w:shd w:val="clear" w:color="auto" w:fill="F4F7FA"/>
            <w:tcMar>
              <w:top w:w="70" w:type="dxa"/>
              <w:left w:w="90" w:type="dxa"/>
              <w:bottom w:w="70" w:type="dxa"/>
              <w:right w:w="90" w:type="dxa"/>
            </w:tcMar>
          </w:tcPr>
          <w:p w14:paraId="67787819" w14:textId="77777777" w:rsidR="00491A46" w:rsidRDefault="00000000">
            <w:pPr>
              <w:spacing w:after="0"/>
            </w:pPr>
            <w:r>
              <w:rPr>
                <w:sz w:val="16"/>
              </w:rPr>
              <w:t>€10.0 million</w:t>
            </w:r>
          </w:p>
        </w:tc>
        <w:tc>
          <w:tcPr>
            <w:tcW w:w="1701" w:type="dxa"/>
            <w:shd w:val="clear" w:color="auto" w:fill="F4F7FA"/>
            <w:tcMar>
              <w:top w:w="70" w:type="dxa"/>
              <w:left w:w="90" w:type="dxa"/>
              <w:bottom w:w="70" w:type="dxa"/>
              <w:right w:w="90" w:type="dxa"/>
            </w:tcMar>
          </w:tcPr>
          <w:p w14:paraId="13A4533E" w14:textId="77777777" w:rsidR="00491A46" w:rsidRDefault="00000000">
            <w:pPr>
              <w:spacing w:after="0"/>
            </w:pPr>
            <w:r>
              <w:rPr>
                <w:sz w:val="16"/>
              </w:rPr>
              <w:t>Printed p.8; narrative p.20</w:t>
            </w:r>
          </w:p>
        </w:tc>
        <w:tc>
          <w:tcPr>
            <w:tcW w:w="3458" w:type="dxa"/>
            <w:shd w:val="clear" w:color="auto" w:fill="F4F7FA"/>
            <w:tcMar>
              <w:top w:w="70" w:type="dxa"/>
              <w:left w:w="90" w:type="dxa"/>
              <w:bottom w:w="70" w:type="dxa"/>
              <w:right w:w="90" w:type="dxa"/>
            </w:tcMar>
          </w:tcPr>
          <w:p w14:paraId="221A242D" w14:textId="77777777" w:rsidR="00491A46" w:rsidRDefault="00000000">
            <w:pPr>
              <w:spacing w:after="0"/>
            </w:pPr>
            <w:r>
              <w:rPr>
                <w:sz w:val="16"/>
              </w:rPr>
              <w:t>A separate Hazelhatch/Newcastle scheme; it does not resolve all drainage needs in Saggart, Rathcoole or Citywest.</w:t>
            </w:r>
          </w:p>
        </w:tc>
      </w:tr>
      <w:tr w:rsidR="00491A46" w14:paraId="2D8C638C" w14:textId="77777777">
        <w:trPr>
          <w:cantSplit/>
          <w:jc w:val="center"/>
        </w:trPr>
        <w:tc>
          <w:tcPr>
            <w:tcW w:w="2381" w:type="dxa"/>
            <w:tcMar>
              <w:top w:w="70" w:type="dxa"/>
              <w:left w:w="90" w:type="dxa"/>
              <w:bottom w:w="70" w:type="dxa"/>
              <w:right w:w="90" w:type="dxa"/>
            </w:tcMar>
          </w:tcPr>
          <w:p w14:paraId="47A60D14" w14:textId="77777777" w:rsidR="00491A46" w:rsidRDefault="00000000">
            <w:pPr>
              <w:spacing w:after="0"/>
            </w:pPr>
            <w:r>
              <w:rPr>
                <w:b/>
                <w:sz w:val="16"/>
              </w:rPr>
              <w:t>Transportation studies for Rathcoole and Newcastle</w:t>
            </w:r>
          </w:p>
        </w:tc>
        <w:tc>
          <w:tcPr>
            <w:tcW w:w="1474" w:type="dxa"/>
            <w:tcMar>
              <w:top w:w="70" w:type="dxa"/>
              <w:left w:w="90" w:type="dxa"/>
              <w:bottom w:w="70" w:type="dxa"/>
              <w:right w:w="90" w:type="dxa"/>
            </w:tcMar>
          </w:tcPr>
          <w:p w14:paraId="4850825F" w14:textId="77777777" w:rsidR="00491A46" w:rsidRDefault="00000000">
            <w:pPr>
              <w:spacing w:after="0"/>
            </w:pPr>
            <w:r>
              <w:rPr>
                <w:sz w:val="16"/>
              </w:rPr>
              <w:t>Provision identified; no project-specific sum stated</w:t>
            </w:r>
          </w:p>
        </w:tc>
        <w:tc>
          <w:tcPr>
            <w:tcW w:w="1701" w:type="dxa"/>
            <w:tcMar>
              <w:top w:w="70" w:type="dxa"/>
              <w:left w:w="90" w:type="dxa"/>
              <w:bottom w:w="70" w:type="dxa"/>
              <w:right w:w="90" w:type="dxa"/>
            </w:tcMar>
          </w:tcPr>
          <w:p w14:paraId="53A642A3" w14:textId="77777777" w:rsidR="00491A46" w:rsidRDefault="00000000">
            <w:pPr>
              <w:spacing w:after="0"/>
            </w:pPr>
            <w:r>
              <w:rPr>
                <w:sz w:val="16"/>
              </w:rPr>
              <w:t>Printed p.17</w:t>
            </w:r>
          </w:p>
        </w:tc>
        <w:tc>
          <w:tcPr>
            <w:tcW w:w="3458" w:type="dxa"/>
            <w:tcMar>
              <w:top w:w="70" w:type="dxa"/>
              <w:left w:w="90" w:type="dxa"/>
              <w:bottom w:w="70" w:type="dxa"/>
              <w:right w:w="90" w:type="dxa"/>
            </w:tcMar>
          </w:tcPr>
          <w:p w14:paraId="2C575609" w14:textId="77777777" w:rsidR="00491A46" w:rsidRDefault="00000000">
            <w:pPr>
              <w:spacing w:after="0"/>
            </w:pPr>
            <w:r>
              <w:rPr>
                <w:sz w:val="16"/>
              </w:rPr>
              <w:t>Shows transport planning remains at study stage and supports an updated cumulative transport assessment.</w:t>
            </w:r>
          </w:p>
        </w:tc>
      </w:tr>
    </w:tbl>
    <w:p w14:paraId="7DD3C840" w14:textId="58233B17" w:rsidR="00491A46" w:rsidRDefault="00000000">
      <w:pPr>
        <w:pStyle w:val="SourceNote"/>
      </w:pPr>
      <w:r>
        <w:t xml:space="preserve">Page references are to the printed page numbers within the SDCC Capital Programme. </w:t>
      </w:r>
    </w:p>
    <w:p w14:paraId="40B629A6" w14:textId="77777777" w:rsidR="00491A46" w:rsidRDefault="00000000">
      <w:r>
        <w:br w:type="page"/>
      </w:r>
    </w:p>
    <w:p w14:paraId="27689C73" w14:textId="77777777" w:rsidR="00491A46" w:rsidRDefault="00000000">
      <w:pPr>
        <w:pStyle w:val="Heading1"/>
      </w:pPr>
      <w:r>
        <w:lastRenderedPageBreak/>
        <w:t>Appendix 2</w:t>
      </w:r>
    </w:p>
    <w:p w14:paraId="7346A4C4" w14:textId="77777777" w:rsidR="00491A46" w:rsidRDefault="00000000">
      <w:r>
        <w:rPr>
          <w:b/>
          <w:color w:val="1F4E79"/>
          <w:sz w:val="28"/>
        </w:rPr>
        <w:t>Existing Surface-Water Infrastructure: Taking-in-Charge Case Study</w:t>
      </w:r>
    </w:p>
    <w:p w14:paraId="782BEDDC" w14:textId="77777777" w:rsidR="00491A46" w:rsidRDefault="00000000">
      <w:pPr>
        <w:pStyle w:val="Heading2"/>
      </w:pPr>
      <w:r>
        <w:t>A2.1 SDCC correspondence</w:t>
      </w:r>
    </w:p>
    <w:p w14:paraId="4850F819" w14:textId="77777777" w:rsidR="00491A46" w:rsidRDefault="00000000">
      <w:r>
        <w:t>The SDCC letter dated 30 July 2026 states that the Council has been in discussions with a developer in relation to taking in charge nearby estates. It further states that taking in charge cannot progress because surface-water services are tied into a neighbouring development and the necessary connected drainage works remain incomplete.</w:t>
      </w:r>
    </w:p>
    <w:p w14:paraId="654AB591" w14:textId="77777777" w:rsidR="00491A46" w:rsidRDefault="00000000">
      <w:r>
        <w:t>The letter contains an apparent inconsistency in the estate names: it initially refers to Crosforge and Drury Mills, but later refers to Crosforge and Millrace. SVRA asks SDCC to clarify the intended estate names. This appendix relies on the document only for the general and clearly stated point that incomplete, interconnected surface-water works can prevent taking in charge.</w:t>
      </w:r>
    </w:p>
    <w:p w14:paraId="7E245762" w14:textId="77777777" w:rsidR="00491A46" w:rsidRDefault="00000000">
      <w:pPr>
        <w:pStyle w:val="Heading2"/>
      </w:pPr>
      <w:r>
        <w:t>A2.2 Planning relevance</w:t>
      </w:r>
    </w:p>
    <w:p w14:paraId="53395764" w14:textId="77777777" w:rsidR="00491A46" w:rsidRDefault="00000000">
      <w:pPr>
        <w:pStyle w:val="ListBullet"/>
        <w:spacing w:after="60"/>
        <w:ind w:left="369" w:hanging="170"/>
      </w:pPr>
      <w:r>
        <w:t>Critical drainage infrastructure can remain unresolved after homes are occupied.</w:t>
      </w:r>
    </w:p>
    <w:p w14:paraId="59DA7CDB" w14:textId="77777777" w:rsidR="00491A46" w:rsidRDefault="00000000">
      <w:pPr>
        <w:pStyle w:val="ListBullet"/>
        <w:spacing w:after="60"/>
        <w:ind w:left="369" w:hanging="170"/>
      </w:pPr>
      <w:r>
        <w:t>Residents may be affected by works or agreements involving a different development or developer.</w:t>
      </w:r>
    </w:p>
    <w:p w14:paraId="2DF4BC1F" w14:textId="77777777" w:rsidR="00491A46" w:rsidRDefault="00000000">
      <w:pPr>
        <w:pStyle w:val="ListBullet"/>
        <w:spacing w:after="60"/>
        <w:ind w:left="369" w:hanging="170"/>
      </w:pPr>
      <w:r>
        <w:t>The Council may have limited practical leverage once the infrastructure dependency has arisen.</w:t>
      </w:r>
    </w:p>
    <w:p w14:paraId="20E1AD95" w14:textId="77777777" w:rsidR="00491A46" w:rsidRDefault="00000000">
      <w:pPr>
        <w:pStyle w:val="ListBullet"/>
        <w:spacing w:after="60"/>
        <w:ind w:left="369" w:hanging="170"/>
      </w:pPr>
      <w:r>
        <w:t>A planning objective should therefore specify delivery outcomes and occupation triggers, not merely require assessment or future engagement.</w:t>
      </w:r>
    </w:p>
    <w:p w14:paraId="0CCCE913" w14:textId="77777777" w:rsidR="00491A46" w:rsidRDefault="00000000">
      <w:pPr>
        <w:pStyle w:val="Heading2"/>
      </w:pPr>
      <w:r>
        <w:t>A2.3 Requested safeguard for Citywest</w:t>
      </w:r>
    </w:p>
    <w:p w14:paraId="2C163D5E" w14:textId="77777777" w:rsidR="00491A46" w:rsidRDefault="00000000">
      <w:r>
        <w:t>The final Citywest objective should require that all necessary surface-water infrastructure, flood mitigation, outfalls, attenuation, nature-based drainage and connections are fully secured and operational in accordance with an approved phasing plan. No substantial residential occupation should occur where critical drainage depends on incomplete or unsecured works in a later phase or adjoining development.</w:t>
      </w:r>
    </w:p>
    <w:p w14:paraId="6C3D1337" w14:textId="77777777" w:rsidR="00491A46" w:rsidRDefault="00000000">
      <w:r>
        <w:br w:type="page"/>
      </w:r>
    </w:p>
    <w:p w14:paraId="7E171D89" w14:textId="77777777" w:rsidR="00491A46" w:rsidRDefault="00000000">
      <w:pPr>
        <w:jc w:val="center"/>
      </w:pPr>
      <w:r>
        <w:rPr>
          <w:b/>
          <w:color w:val="1F4E79"/>
          <w:sz w:val="24"/>
        </w:rPr>
        <w:lastRenderedPageBreak/>
        <w:t>SDCC letter dated 30 July 2026</w:t>
      </w:r>
    </w:p>
    <w:p w14:paraId="57D51B03" w14:textId="77777777" w:rsidR="00491A46" w:rsidRDefault="00000000">
      <w:pPr>
        <w:jc w:val="center"/>
      </w:pPr>
      <w:r>
        <w:rPr>
          <w:noProof/>
        </w:rPr>
        <w:drawing>
          <wp:inline distT="0" distB="0" distL="0" distR="0" wp14:anchorId="594C0299" wp14:editId="540C7D86">
            <wp:extent cx="4752000" cy="8171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C_Drainage_Letter_30_July_2026_cropped.png"/>
                    <pic:cNvPicPr/>
                  </pic:nvPicPr>
                  <pic:blipFill>
                    <a:blip r:embed="rId8"/>
                    <a:stretch>
                      <a:fillRect/>
                    </a:stretch>
                  </pic:blipFill>
                  <pic:spPr>
                    <a:xfrm>
                      <a:off x="0" y="0"/>
                      <a:ext cx="4752000" cy="8171429"/>
                    </a:xfrm>
                    <a:prstGeom prst="rect">
                      <a:avLst/>
                    </a:prstGeom>
                  </pic:spPr>
                </pic:pic>
              </a:graphicData>
            </a:graphic>
          </wp:inline>
        </w:drawing>
      </w:r>
    </w:p>
    <w:p w14:paraId="257A20E0" w14:textId="77777777" w:rsidR="00491A46" w:rsidRDefault="00000000">
      <w:pPr>
        <w:pStyle w:val="SourceNote"/>
        <w:jc w:val="center"/>
      </w:pPr>
      <w:r>
        <w:t>Figure A2.1 - SDCC response regarding taking in charge and connected surface-water drainage works (Members Reps. ID 1930148).</w:t>
      </w:r>
    </w:p>
    <w:sectPr w:rsidR="00491A46" w:rsidSect="00034616">
      <w:footerReference w:type="default" r:id="rId9"/>
      <w:pgSz w:w="11906" w:h="16838"/>
      <w:pgMar w:top="1191"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76D7" w14:textId="77777777" w:rsidR="00D67717" w:rsidRDefault="00D67717">
      <w:pPr>
        <w:spacing w:after="0" w:line="240" w:lineRule="auto"/>
      </w:pPr>
      <w:r>
        <w:separator/>
      </w:r>
    </w:p>
  </w:endnote>
  <w:endnote w:type="continuationSeparator" w:id="0">
    <w:p w14:paraId="64D4A201" w14:textId="77777777" w:rsidR="00D67717" w:rsidRDefault="00D6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CA450" w14:textId="77777777" w:rsidR="00491A46" w:rsidRDefault="00000000">
    <w:pPr>
      <w:pStyle w:val="Footer"/>
      <w:jc w:val="center"/>
    </w:pPr>
    <w:r>
      <w:rPr>
        <w:color w:val="777777"/>
        <w:sz w:val="16"/>
      </w:rPr>
      <w:t>Saggart Village Residents Association | Proposed Variation No. 2 - Citywest</w:t>
    </w:r>
  </w:p>
  <w:p w14:paraId="5A484789" w14:textId="77777777" w:rsidR="00491A46" w:rsidRDefault="00000000">
    <w:pPr>
      <w:jc w:val="center"/>
    </w:pPr>
    <w:r>
      <w:rPr>
        <w:color w:val="777777"/>
        <w:sz w:val="17"/>
      </w:rPr>
      <w:fldChar w:fldCharType="begin"/>
    </w:r>
    <w:r>
      <w:rPr>
        <w:color w:val="777777"/>
        <w:sz w:val="17"/>
      </w:rPr>
      <w:instrText xml:space="preserve"> PAGE </w:instrText>
    </w:r>
    <w:r>
      <w:rPr>
        <w:color w:val="777777"/>
        <w:sz w:val="17"/>
      </w:rPr>
      <w:fldChar w:fldCharType="separate"/>
    </w:r>
    <w:r w:rsidR="001E564B">
      <w:rPr>
        <w:noProof/>
        <w:color w:val="777777"/>
        <w:sz w:val="17"/>
      </w:rPr>
      <w:t>1</w:t>
    </w:r>
    <w:r>
      <w:rPr>
        <w:color w:val="777777"/>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FE552" w14:textId="77777777" w:rsidR="00D67717" w:rsidRDefault="00D67717">
      <w:pPr>
        <w:spacing w:after="0" w:line="240" w:lineRule="auto"/>
      </w:pPr>
      <w:r>
        <w:separator/>
      </w:r>
    </w:p>
  </w:footnote>
  <w:footnote w:type="continuationSeparator" w:id="0">
    <w:p w14:paraId="3F649745" w14:textId="77777777" w:rsidR="00D67717" w:rsidRDefault="00D677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01123829">
    <w:abstractNumId w:val="8"/>
  </w:num>
  <w:num w:numId="2" w16cid:durableId="326834035">
    <w:abstractNumId w:val="6"/>
  </w:num>
  <w:num w:numId="3" w16cid:durableId="1661351115">
    <w:abstractNumId w:val="5"/>
  </w:num>
  <w:num w:numId="4" w16cid:durableId="1081754874">
    <w:abstractNumId w:val="4"/>
  </w:num>
  <w:num w:numId="5" w16cid:durableId="629819362">
    <w:abstractNumId w:val="7"/>
  </w:num>
  <w:num w:numId="6" w16cid:durableId="1549032169">
    <w:abstractNumId w:val="3"/>
  </w:num>
  <w:num w:numId="7" w16cid:durableId="1231886952">
    <w:abstractNumId w:val="2"/>
  </w:num>
  <w:num w:numId="8" w16cid:durableId="1604798803">
    <w:abstractNumId w:val="1"/>
  </w:num>
  <w:num w:numId="9" w16cid:durableId="792134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561F"/>
    <w:rsid w:val="001E564B"/>
    <w:rsid w:val="00206B1D"/>
    <w:rsid w:val="0029639D"/>
    <w:rsid w:val="00326F90"/>
    <w:rsid w:val="00491A46"/>
    <w:rsid w:val="00605B78"/>
    <w:rsid w:val="008F0500"/>
    <w:rsid w:val="009614B4"/>
    <w:rsid w:val="009B5812"/>
    <w:rsid w:val="00AA1D8D"/>
    <w:rsid w:val="00B47730"/>
    <w:rsid w:val="00CB0664"/>
    <w:rsid w:val="00D677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9701F"/>
  <w14:defaultImageDpi w14:val="300"/>
  <w15:docId w15:val="{E3D35AAE-438B-4AB0-BC02-C07AE485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8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60"/>
    </w:pPr>
    <w:rPr>
      <w:rFonts w:asciiTheme="majorHAnsi" w:eastAsiaTheme="majorEastAsia" w:hAnsiTheme="majorHAnsi" w:cstheme="majorBidi"/>
      <w:b/>
      <w:i/>
      <w:iCs/>
      <w:color w:val="40404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mall">
    <w:name w:val="Cover Small"/>
    <w:pPr>
      <w:spacing w:after="120"/>
    </w:pPr>
    <w:rPr>
      <w:rFonts w:ascii="Arial" w:hAnsi="Arial"/>
      <w:color w:val="404040"/>
    </w:rPr>
  </w:style>
  <w:style w:type="paragraph" w:customStyle="1" w:styleId="SourceNote">
    <w:name w:val="Source Note"/>
    <w:pPr>
      <w:spacing w:before="40" w:after="140"/>
    </w:pPr>
    <w:rPr>
      <w:rFonts w:ascii="Arial" w:hAnsi="Arial"/>
      <w:i/>
      <w:color w:val="666666"/>
      <w:sz w:val="17"/>
    </w:rPr>
  </w:style>
  <w:style w:type="paragraph" w:customStyle="1" w:styleId="Recommendation">
    <w:name w:val="Recommendation"/>
    <w:pPr>
      <w:spacing w:after="120"/>
      <w:ind w:left="340" w:hanging="198"/>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3443</Words>
  <Characters>19631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SVRA Further Submission - Citywest MA5.1</dc:title>
  <dc:subject>Proposed Material Alterations to Proposed Variation No. 2</dc:subject>
  <dc:creator>Saggart Village Residents Association</dc:creator>
  <cp:keywords>Citywest, Saggart, rezoning, MA5.1, CS8 SLO2, infrastructure, drainage, community facilities</cp:keywords>
  <dc:description>Prepared for submission on 5 August 2026.</dc:description>
  <cp:lastModifiedBy>Duane Byrne</cp:lastModifiedBy>
  <cp:revision>2</cp:revision>
  <dcterms:created xsi:type="dcterms:W3CDTF">2026-08-05T22:19:00Z</dcterms:created>
  <dcterms:modified xsi:type="dcterms:W3CDTF">2026-08-05T22:19:00Z</dcterms:modified>
  <cp:category/>
</cp:coreProperties>
</file>